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9E6" w:rsidRPr="00783603" w:rsidRDefault="007A09E6" w:rsidP="007A09E6">
      <w:pPr>
        <w:pStyle w:val="Overskrift4"/>
        <w:rPr>
          <w:rFonts w:ascii="Calibri" w:hAnsi="Calibri"/>
        </w:rPr>
      </w:pPr>
    </w:p>
    <w:p w:rsidR="007A09E6" w:rsidRPr="00783603" w:rsidRDefault="007A09E6" w:rsidP="007A09E6">
      <w:pPr>
        <w:pStyle w:val="Overskrift4"/>
        <w:rPr>
          <w:rFonts w:ascii="Calibri" w:hAnsi="Calibri"/>
          <w:sz w:val="24"/>
          <w:szCs w:val="24"/>
        </w:rPr>
      </w:pPr>
      <w:bookmarkStart w:id="0" w:name="_GoBack"/>
      <w:r w:rsidRPr="00783603">
        <w:rPr>
          <w:rFonts w:ascii="Calibri" w:hAnsi="Calibri"/>
          <w:sz w:val="24"/>
          <w:szCs w:val="24"/>
        </w:rPr>
        <w:t>AVTALEDOKUMENT ME</w:t>
      </w:r>
      <w:r w:rsidR="004B138A" w:rsidRPr="00783603">
        <w:rPr>
          <w:rFonts w:ascii="Calibri" w:hAnsi="Calibri"/>
          <w:sz w:val="24"/>
          <w:szCs w:val="24"/>
        </w:rPr>
        <w:t>LLOM BYGGHERREN OG BYGGHERRENS REPRESENTANT</w:t>
      </w:r>
      <w:r w:rsidRPr="00783603">
        <w:rPr>
          <w:rFonts w:ascii="Calibri" w:hAnsi="Calibri"/>
          <w:sz w:val="24"/>
          <w:szCs w:val="24"/>
        </w:rPr>
        <w:t xml:space="preserve"> </w:t>
      </w:r>
    </w:p>
    <w:bookmarkEnd w:id="0"/>
    <w:p w:rsidR="00943D84" w:rsidRPr="00783603" w:rsidRDefault="00943D84" w:rsidP="00943D84">
      <w:pPr>
        <w:jc w:val="center"/>
      </w:pPr>
      <w:r w:rsidRPr="00783603">
        <w:rPr>
          <w:b/>
          <w:sz w:val="16"/>
        </w:rPr>
        <w:t>i.h.t.</w:t>
      </w:r>
      <w:r w:rsidRPr="00783603">
        <w:rPr>
          <w:b/>
        </w:rPr>
        <w:t xml:space="preserve"> </w:t>
      </w:r>
      <w:r w:rsidRPr="00783603">
        <w:rPr>
          <w:b/>
          <w:sz w:val="16"/>
        </w:rPr>
        <w:t xml:space="preserve">forskrift om sikkerhet, helse og arbeidsmiljø på bygge- </w:t>
      </w:r>
      <w:r w:rsidR="00EA51F8" w:rsidRPr="00783603">
        <w:rPr>
          <w:b/>
          <w:sz w:val="16"/>
        </w:rPr>
        <w:t>eller</w:t>
      </w:r>
      <w:r w:rsidRPr="00783603">
        <w:rPr>
          <w:b/>
          <w:sz w:val="16"/>
        </w:rPr>
        <w:t xml:space="preserve"> anleggsplasser</w:t>
      </w:r>
      <w:r w:rsidR="00EA51F8" w:rsidRPr="00783603">
        <w:rPr>
          <w:b/>
          <w:sz w:val="16"/>
        </w:rPr>
        <w:t xml:space="preserve"> (byggherreforskriften)</w:t>
      </w:r>
      <w:r w:rsidR="00514D80" w:rsidRPr="00783603">
        <w:rPr>
          <w:b/>
          <w:sz w:val="16"/>
        </w:rPr>
        <w:t xml:space="preserve"> av 03.08.09</w:t>
      </w:r>
      <w:r w:rsidRPr="00783603">
        <w:rPr>
          <w:b/>
          <w:sz w:val="16"/>
        </w:rPr>
        <w:t xml:space="preserve">, § </w:t>
      </w:r>
      <w:r w:rsidR="00F42096" w:rsidRPr="00783603">
        <w:rPr>
          <w:b/>
          <w:sz w:val="16"/>
        </w:rPr>
        <w:t>1</w:t>
      </w:r>
      <w:r w:rsidRPr="00783603">
        <w:rPr>
          <w:b/>
          <w:sz w:val="16"/>
        </w:rPr>
        <w:t>6</w:t>
      </w:r>
    </w:p>
    <w:p w:rsidR="007A09E6" w:rsidRPr="00783603" w:rsidRDefault="007A09E6" w:rsidP="007A09E6">
      <w:pPr>
        <w:rPr>
          <w:sz w:val="24"/>
        </w:rPr>
      </w:pPr>
    </w:p>
    <w:p w:rsidR="007A09E6" w:rsidRPr="00783603" w:rsidRDefault="007A09E6" w:rsidP="007A09E6">
      <w:pPr>
        <w:pStyle w:val="Undertittel"/>
        <w:jc w:val="center"/>
        <w:rPr>
          <w:b/>
          <w:sz w:val="23"/>
        </w:rPr>
      </w:pPr>
      <w:r w:rsidRPr="00783603">
        <w:rPr>
          <w:b/>
          <w:sz w:val="23"/>
        </w:rPr>
        <w:t xml:space="preserve">Denne avtale gjelder for prosjekt: &lt;Prosjektnavn&gt; </w:t>
      </w:r>
    </w:p>
    <w:p w:rsidR="007A09E6" w:rsidRPr="00783603" w:rsidRDefault="007A09E6" w:rsidP="007A09E6">
      <w:pPr>
        <w:pStyle w:val="Undertittel"/>
        <w:jc w:val="center"/>
        <w:rPr>
          <w:b/>
          <w:sz w:val="23"/>
        </w:rPr>
      </w:pPr>
      <w:r w:rsidRPr="00783603">
        <w:rPr>
          <w:b/>
          <w:sz w:val="23"/>
        </w:rPr>
        <w:t xml:space="preserve">på &lt;Skolenavn&gt; </w:t>
      </w:r>
    </w:p>
    <w:p w:rsidR="007A09E6" w:rsidRPr="00783603" w:rsidRDefault="007A09E6" w:rsidP="007A09E6">
      <w:pPr>
        <w:rPr>
          <w:b/>
          <w:sz w:val="24"/>
        </w:rPr>
      </w:pPr>
      <w:r w:rsidRPr="00783603">
        <w:rPr>
          <w:b/>
          <w:sz w:val="24"/>
        </w:rPr>
        <w:br/>
      </w:r>
      <w:r w:rsidRPr="00783603">
        <w:rPr>
          <w:b/>
          <w:sz w:val="24"/>
        </w:rPr>
        <w:br/>
      </w:r>
    </w:p>
    <w:p w:rsidR="007A09E6" w:rsidRPr="00783603" w:rsidRDefault="007A09E6" w:rsidP="007A09E6">
      <w:pPr>
        <w:rPr>
          <w:b/>
        </w:rPr>
      </w:pPr>
      <w:r w:rsidRPr="00783603">
        <w:rPr>
          <w:b/>
        </w:rPr>
        <w:t>Avtalen er inngått mellom:</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25"/>
        <w:gridCol w:w="4925"/>
      </w:tblGrid>
      <w:tr w:rsidR="007A09E6" w:rsidRPr="00783603">
        <w:trPr>
          <w:trHeight w:val="388"/>
        </w:trPr>
        <w:tc>
          <w:tcPr>
            <w:tcW w:w="4361" w:type="dxa"/>
            <w:vAlign w:val="center"/>
          </w:tcPr>
          <w:p w:rsidR="007A09E6" w:rsidRPr="00253783" w:rsidRDefault="007A09E6" w:rsidP="007A09E6">
            <w:pPr>
              <w:rPr>
                <w:szCs w:val="22"/>
              </w:rPr>
            </w:pPr>
            <w:r w:rsidRPr="00253783">
              <w:rPr>
                <w:szCs w:val="22"/>
              </w:rPr>
              <w:t xml:space="preserve">BYGGHERRE (BH):                                    </w:t>
            </w:r>
          </w:p>
        </w:tc>
        <w:tc>
          <w:tcPr>
            <w:tcW w:w="425" w:type="dxa"/>
            <w:noWrap/>
            <w:tcMar>
              <w:top w:w="28" w:type="dxa"/>
              <w:left w:w="57" w:type="dxa"/>
              <w:right w:w="57" w:type="dxa"/>
            </w:tcMar>
            <w:vAlign w:val="center"/>
          </w:tcPr>
          <w:p w:rsidR="007A09E6" w:rsidRPr="00783603" w:rsidRDefault="007A09E6" w:rsidP="007A09E6">
            <w:pPr>
              <w:jc w:val="center"/>
            </w:pPr>
            <w:r w:rsidRPr="00783603">
              <w:rPr>
                <w:sz w:val="20"/>
              </w:rPr>
              <w:t>og</w:t>
            </w:r>
          </w:p>
        </w:tc>
        <w:tc>
          <w:tcPr>
            <w:tcW w:w="4925" w:type="dxa"/>
            <w:vAlign w:val="center"/>
          </w:tcPr>
          <w:p w:rsidR="007A09E6" w:rsidRPr="00783603" w:rsidRDefault="00F42096" w:rsidP="00F42096">
            <w:r w:rsidRPr="00783603">
              <w:t>BYGGHERRENS REPRESENTANT</w:t>
            </w:r>
            <w:r w:rsidR="00943D84" w:rsidRPr="00783603">
              <w:t xml:space="preserve"> (</w:t>
            </w:r>
            <w:r w:rsidRPr="00783603">
              <w:t>BHR</w:t>
            </w:r>
            <w:r w:rsidR="007A09E6" w:rsidRPr="00783603">
              <w:t>)</w:t>
            </w:r>
          </w:p>
        </w:tc>
      </w:tr>
      <w:tr w:rsidR="007A09E6" w:rsidRPr="00783603">
        <w:trPr>
          <w:trHeight w:val="276"/>
        </w:trPr>
        <w:tc>
          <w:tcPr>
            <w:tcW w:w="4361" w:type="dxa"/>
          </w:tcPr>
          <w:p w:rsidR="007A09E6" w:rsidRPr="00783603" w:rsidRDefault="007A09E6" w:rsidP="007A09E6">
            <w:pPr>
              <w:rPr>
                <w:sz w:val="20"/>
              </w:rPr>
            </w:pPr>
            <w:r w:rsidRPr="00783603">
              <w:rPr>
                <w:sz w:val="20"/>
              </w:rPr>
              <w:t>Undervisningsbygg Oslo KF</w:t>
            </w:r>
          </w:p>
        </w:tc>
        <w:tc>
          <w:tcPr>
            <w:tcW w:w="425" w:type="dxa"/>
          </w:tcPr>
          <w:p w:rsidR="007A09E6" w:rsidRPr="00783603" w:rsidRDefault="007A09E6" w:rsidP="007A09E6">
            <w:pPr>
              <w:rPr>
                <w:sz w:val="20"/>
              </w:rPr>
            </w:pPr>
          </w:p>
        </w:tc>
        <w:tc>
          <w:tcPr>
            <w:tcW w:w="4925" w:type="dxa"/>
          </w:tcPr>
          <w:p w:rsidR="007A09E6" w:rsidRPr="00783603" w:rsidRDefault="00943D84" w:rsidP="007A09E6">
            <w:pPr>
              <w:rPr>
                <w:sz w:val="20"/>
              </w:rPr>
            </w:pPr>
            <w:r w:rsidRPr="00783603">
              <w:rPr>
                <w:sz w:val="20"/>
              </w:rPr>
              <w:t xml:space="preserve">  </w:t>
            </w:r>
            <w:r w:rsidR="00F42096" w:rsidRPr="00783603">
              <w:rPr>
                <w:sz w:val="20"/>
              </w:rPr>
              <w:t>BHR</w:t>
            </w:r>
          </w:p>
        </w:tc>
      </w:tr>
      <w:tr w:rsidR="007A09E6" w:rsidRPr="00783603">
        <w:trPr>
          <w:trHeight w:val="276"/>
        </w:trPr>
        <w:tc>
          <w:tcPr>
            <w:tcW w:w="4361" w:type="dxa"/>
          </w:tcPr>
          <w:p w:rsidR="007A09E6" w:rsidRPr="00783603" w:rsidRDefault="007A09E6" w:rsidP="007A09E6">
            <w:pPr>
              <w:rPr>
                <w:sz w:val="20"/>
              </w:rPr>
            </w:pPr>
            <w:r w:rsidRPr="00783603">
              <w:rPr>
                <w:sz w:val="20"/>
              </w:rPr>
              <w:t>F</w:t>
            </w:r>
            <w:r w:rsidR="00943D84" w:rsidRPr="00783603">
              <w:rPr>
                <w:sz w:val="20"/>
              </w:rPr>
              <w:t>redrik Selmersvei 2</w:t>
            </w:r>
            <w:r w:rsidRPr="00783603">
              <w:rPr>
                <w:sz w:val="20"/>
              </w:rPr>
              <w:t>, Postboks 6473 Etterstad</w:t>
            </w:r>
          </w:p>
        </w:tc>
        <w:tc>
          <w:tcPr>
            <w:tcW w:w="425" w:type="dxa"/>
          </w:tcPr>
          <w:p w:rsidR="007A09E6" w:rsidRPr="00783603" w:rsidRDefault="007A09E6" w:rsidP="007A09E6">
            <w:pPr>
              <w:rPr>
                <w:sz w:val="20"/>
              </w:rPr>
            </w:pPr>
          </w:p>
        </w:tc>
        <w:tc>
          <w:tcPr>
            <w:tcW w:w="4925" w:type="dxa"/>
          </w:tcPr>
          <w:p w:rsidR="007A09E6" w:rsidRPr="00783603" w:rsidRDefault="00943D84" w:rsidP="007A09E6">
            <w:pPr>
              <w:rPr>
                <w:sz w:val="20"/>
              </w:rPr>
            </w:pPr>
            <w:r w:rsidRPr="00783603">
              <w:rPr>
                <w:sz w:val="20"/>
              </w:rPr>
              <w:t>&lt;</w:t>
            </w:r>
            <w:r w:rsidR="00F42096" w:rsidRPr="00783603">
              <w:rPr>
                <w:sz w:val="20"/>
              </w:rPr>
              <w:t>BHR</w:t>
            </w:r>
            <w:r w:rsidR="007A09E6" w:rsidRPr="00783603">
              <w:rPr>
                <w:sz w:val="20"/>
              </w:rPr>
              <w:t>-Adresse&gt;</w:t>
            </w:r>
          </w:p>
        </w:tc>
      </w:tr>
      <w:tr w:rsidR="007A09E6" w:rsidRPr="00783603">
        <w:trPr>
          <w:trHeight w:val="276"/>
        </w:trPr>
        <w:tc>
          <w:tcPr>
            <w:tcW w:w="4361" w:type="dxa"/>
          </w:tcPr>
          <w:p w:rsidR="007A09E6" w:rsidRPr="00783603" w:rsidRDefault="007A09E6" w:rsidP="007A09E6">
            <w:pPr>
              <w:rPr>
                <w:sz w:val="20"/>
              </w:rPr>
            </w:pPr>
            <w:r w:rsidRPr="00783603">
              <w:rPr>
                <w:sz w:val="20"/>
              </w:rPr>
              <w:t>0605 Oslo</w:t>
            </w:r>
          </w:p>
        </w:tc>
        <w:tc>
          <w:tcPr>
            <w:tcW w:w="425" w:type="dxa"/>
          </w:tcPr>
          <w:p w:rsidR="007A09E6" w:rsidRPr="00783603" w:rsidRDefault="007A09E6" w:rsidP="007A09E6">
            <w:pPr>
              <w:rPr>
                <w:sz w:val="20"/>
              </w:rPr>
            </w:pPr>
          </w:p>
        </w:tc>
        <w:tc>
          <w:tcPr>
            <w:tcW w:w="4925" w:type="dxa"/>
          </w:tcPr>
          <w:p w:rsidR="007A09E6" w:rsidRPr="00783603" w:rsidRDefault="00943D84" w:rsidP="007A09E6">
            <w:pPr>
              <w:rPr>
                <w:sz w:val="20"/>
              </w:rPr>
            </w:pPr>
            <w:r w:rsidRPr="00783603">
              <w:rPr>
                <w:sz w:val="20"/>
              </w:rPr>
              <w:t>&lt;</w:t>
            </w:r>
            <w:r w:rsidR="00F42096" w:rsidRPr="00783603">
              <w:rPr>
                <w:sz w:val="20"/>
              </w:rPr>
              <w:t>BHR</w:t>
            </w:r>
            <w:r w:rsidR="007A09E6" w:rsidRPr="00783603">
              <w:rPr>
                <w:sz w:val="20"/>
              </w:rPr>
              <w:t>-Pnr-Psted&gt;</w:t>
            </w:r>
          </w:p>
        </w:tc>
      </w:tr>
      <w:tr w:rsidR="007A09E6" w:rsidRPr="00783603">
        <w:trPr>
          <w:trHeight w:val="276"/>
        </w:trPr>
        <w:tc>
          <w:tcPr>
            <w:tcW w:w="4361" w:type="dxa"/>
            <w:tcBorders>
              <w:bottom w:val="single" w:sz="4" w:space="0" w:color="auto"/>
            </w:tcBorders>
          </w:tcPr>
          <w:p w:rsidR="007A09E6" w:rsidRPr="00783603" w:rsidRDefault="007A09E6" w:rsidP="007A09E6">
            <w:pPr>
              <w:rPr>
                <w:sz w:val="20"/>
              </w:rPr>
            </w:pPr>
            <w:r w:rsidRPr="00783603">
              <w:rPr>
                <w:sz w:val="20"/>
              </w:rPr>
              <w:t>Orgnr.: 984 070 659MVA</w:t>
            </w:r>
          </w:p>
        </w:tc>
        <w:tc>
          <w:tcPr>
            <w:tcW w:w="425" w:type="dxa"/>
            <w:tcBorders>
              <w:bottom w:val="single" w:sz="4" w:space="0" w:color="auto"/>
            </w:tcBorders>
          </w:tcPr>
          <w:p w:rsidR="007A09E6" w:rsidRPr="00783603" w:rsidRDefault="007A09E6" w:rsidP="007A09E6">
            <w:pPr>
              <w:rPr>
                <w:sz w:val="20"/>
              </w:rPr>
            </w:pPr>
          </w:p>
        </w:tc>
        <w:tc>
          <w:tcPr>
            <w:tcW w:w="4925" w:type="dxa"/>
            <w:tcBorders>
              <w:bottom w:val="single" w:sz="4" w:space="0" w:color="auto"/>
            </w:tcBorders>
          </w:tcPr>
          <w:p w:rsidR="007A09E6" w:rsidRPr="00783603" w:rsidRDefault="007A09E6" w:rsidP="007A09E6">
            <w:pPr>
              <w:rPr>
                <w:sz w:val="20"/>
              </w:rPr>
            </w:pPr>
            <w:r w:rsidRPr="00783603">
              <w:rPr>
                <w:sz w:val="20"/>
              </w:rPr>
              <w:t>Orgnr.</w:t>
            </w:r>
            <w:r w:rsidR="00943D84" w:rsidRPr="00783603">
              <w:rPr>
                <w:sz w:val="20"/>
              </w:rPr>
              <w:t>: &lt;</w:t>
            </w:r>
            <w:r w:rsidR="00F42096" w:rsidRPr="00783603">
              <w:rPr>
                <w:sz w:val="20"/>
              </w:rPr>
              <w:t>BHR</w:t>
            </w:r>
            <w:r w:rsidRPr="00783603">
              <w:rPr>
                <w:sz w:val="20"/>
              </w:rPr>
              <w:t>-Orgnr&gt; MVA</w:t>
            </w:r>
          </w:p>
        </w:tc>
      </w:tr>
    </w:tbl>
    <w:p w:rsidR="007A09E6" w:rsidRPr="00783603" w:rsidRDefault="007A09E6" w:rsidP="007A09E6">
      <w:r w:rsidRPr="00783603">
        <w:br/>
      </w:r>
      <w:r w:rsidRPr="00783603">
        <w:br/>
      </w:r>
    </w:p>
    <w:p w:rsidR="00AF5057" w:rsidRPr="00783603" w:rsidRDefault="00514D80" w:rsidP="00AF5057">
      <w:pPr>
        <w:numPr>
          <w:ilvl w:val="0"/>
          <w:numId w:val="2"/>
        </w:numPr>
      </w:pPr>
      <w:r w:rsidRPr="00783603">
        <w:t>BH</w:t>
      </w:r>
      <w:r w:rsidR="00F42096" w:rsidRPr="00783603">
        <w:t xml:space="preserve"> oppretter herved avtale med BHR</w:t>
      </w:r>
      <w:r w:rsidR="00892712" w:rsidRPr="00783603">
        <w:t xml:space="preserve"> </w:t>
      </w:r>
      <w:r w:rsidR="00943D84" w:rsidRPr="00783603">
        <w:t>i</w:t>
      </w:r>
      <w:r w:rsidR="00892712" w:rsidRPr="00783603">
        <w:t xml:space="preserve"> henhold til byggherreforskriften (BHF</w:t>
      </w:r>
      <w:r w:rsidR="00943D84" w:rsidRPr="00783603">
        <w:t xml:space="preserve">) § </w:t>
      </w:r>
      <w:r w:rsidR="00F42096" w:rsidRPr="00783603">
        <w:t>1</w:t>
      </w:r>
      <w:r w:rsidR="00943D84" w:rsidRPr="00783603">
        <w:t xml:space="preserve">6. </w:t>
      </w:r>
      <w:r w:rsidR="00F42096" w:rsidRPr="00783603">
        <w:t>BHR</w:t>
      </w:r>
      <w:r w:rsidR="00943D84" w:rsidRPr="00783603">
        <w:t xml:space="preserve"> skal opptre på vegne av BH og overtar BHs forpliktelser</w:t>
      </w:r>
      <w:r w:rsidR="00892712" w:rsidRPr="00783603">
        <w:t xml:space="preserve"> i henhold til byggherreforskriften og</w:t>
      </w:r>
      <w:r w:rsidR="00943D84" w:rsidRPr="00783603">
        <w:t xml:space="preserve"> i samsvar med denne avtalens øvrige bestemmelser. </w:t>
      </w:r>
      <w:r w:rsidR="00943D84" w:rsidRPr="00783603">
        <w:br/>
      </w:r>
    </w:p>
    <w:p w:rsidR="00AF5057" w:rsidRPr="00783603" w:rsidRDefault="00AF5057" w:rsidP="00AF5057">
      <w:pPr>
        <w:numPr>
          <w:ilvl w:val="0"/>
          <w:numId w:val="2"/>
        </w:numPr>
      </w:pPr>
      <w:r w:rsidRPr="00783603">
        <w:t>Ved inngåelse av denne avtalen ivaretar …(person)…. de oppgaver …(firma)…. har som BHR. Bytte av person skal godkjennes av byggherren, og etableres ved tilbud og aksept som vedlegges denne avtale.</w:t>
      </w:r>
      <w:r w:rsidRPr="00783603">
        <w:br/>
      </w:r>
    </w:p>
    <w:p w:rsidR="00D93BE2" w:rsidRPr="00783603" w:rsidRDefault="00AF5057" w:rsidP="00D93BE2">
      <w:pPr>
        <w:numPr>
          <w:ilvl w:val="0"/>
          <w:numId w:val="2"/>
        </w:numPr>
      </w:pPr>
      <w:r w:rsidRPr="00783603">
        <w:t xml:space="preserve">I den grad BH pålegger BHR å arbeide innenfor visse rutiner, er det BH som har ansvaret for at rutinene i seg selv ikke hindrer gjennomføring av kravene i BHF. </w:t>
      </w:r>
    </w:p>
    <w:p w:rsidR="00D93BE2" w:rsidRPr="00783603" w:rsidRDefault="00D93BE2" w:rsidP="00D93BE2">
      <w:pPr>
        <w:pStyle w:val="Brdtekst"/>
        <w:ind w:left="360"/>
        <w:jc w:val="left"/>
        <w:rPr>
          <w:rFonts w:ascii="Calibri" w:hAnsi="Calibri"/>
          <w:sz w:val="18"/>
        </w:rPr>
      </w:pPr>
    </w:p>
    <w:p w:rsidR="00D93BE2" w:rsidRPr="00783603" w:rsidRDefault="00D93BE2" w:rsidP="00943D84">
      <w:pPr>
        <w:pStyle w:val="Brdtekst"/>
        <w:numPr>
          <w:ilvl w:val="0"/>
          <w:numId w:val="2"/>
        </w:numPr>
        <w:jc w:val="left"/>
        <w:rPr>
          <w:rFonts w:ascii="Calibri" w:hAnsi="Calibri"/>
          <w:sz w:val="18"/>
        </w:rPr>
      </w:pPr>
      <w:r w:rsidRPr="00783603">
        <w:rPr>
          <w:rFonts w:ascii="Calibri" w:hAnsi="Calibri"/>
          <w:sz w:val="22"/>
        </w:rPr>
        <w:t xml:space="preserve">BHR har ansvar for å påse at SHA-permen etableres, </w:t>
      </w:r>
      <w:r w:rsidR="00E66634" w:rsidRPr="00783603">
        <w:rPr>
          <w:rFonts w:ascii="Calibri" w:hAnsi="Calibri"/>
          <w:sz w:val="22"/>
        </w:rPr>
        <w:t>ajourføres</w:t>
      </w:r>
      <w:r w:rsidRPr="00783603">
        <w:rPr>
          <w:rFonts w:ascii="Calibri" w:hAnsi="Calibri"/>
          <w:sz w:val="22"/>
        </w:rPr>
        <w:t xml:space="preserve"> og fungerer etter forutsetningene.</w:t>
      </w:r>
    </w:p>
    <w:p w:rsidR="00D93BE2" w:rsidRPr="00783603" w:rsidRDefault="00D93BE2" w:rsidP="00783603"/>
    <w:p w:rsidR="00AF5057" w:rsidRPr="00783603" w:rsidRDefault="00AF5057" w:rsidP="00D93BE2">
      <w:pPr>
        <w:pStyle w:val="Brdtekst"/>
        <w:numPr>
          <w:ilvl w:val="0"/>
          <w:numId w:val="2"/>
        </w:numPr>
        <w:jc w:val="left"/>
        <w:rPr>
          <w:rFonts w:ascii="Calibri" w:hAnsi="Calibri"/>
          <w:sz w:val="22"/>
        </w:rPr>
      </w:pPr>
      <w:r w:rsidRPr="00783603">
        <w:rPr>
          <w:rFonts w:ascii="Calibri" w:hAnsi="Calibri"/>
          <w:sz w:val="22"/>
        </w:rPr>
        <w:t>BHR har ansvar for å organisere prosjektet slik at hensynet til SHA ivaretas.</w:t>
      </w:r>
      <w:r w:rsidRPr="00783603">
        <w:rPr>
          <w:rFonts w:ascii="Calibri" w:hAnsi="Calibri"/>
          <w:sz w:val="22"/>
        </w:rPr>
        <w:br/>
      </w:r>
    </w:p>
    <w:p w:rsidR="00D93BE2" w:rsidRPr="00783603" w:rsidRDefault="00AF5057" w:rsidP="00943D84">
      <w:pPr>
        <w:pStyle w:val="Brdtekst"/>
        <w:numPr>
          <w:ilvl w:val="0"/>
          <w:numId w:val="2"/>
        </w:numPr>
        <w:jc w:val="left"/>
        <w:rPr>
          <w:rFonts w:ascii="Calibri" w:hAnsi="Calibri"/>
          <w:sz w:val="22"/>
        </w:rPr>
      </w:pPr>
      <w:r w:rsidRPr="00783603">
        <w:rPr>
          <w:rFonts w:ascii="Calibri" w:hAnsi="Calibri"/>
          <w:sz w:val="22"/>
        </w:rPr>
        <w:t>BHR har ansvar for at risikoforhold som avdekkes under planlegging og prosjektering, samt andre krav som kan ha økonomisk eller tidsmessig betydning, ref § 9,</w:t>
      </w:r>
      <w:r w:rsidR="00D93BE2" w:rsidRPr="00783603">
        <w:rPr>
          <w:rFonts w:ascii="Calibri" w:hAnsi="Calibri"/>
          <w:sz w:val="22"/>
        </w:rPr>
        <w:t xml:space="preserve"> blir innarbeidet i tilbudsgrunnlaget</w:t>
      </w:r>
      <w:r w:rsidRPr="00783603">
        <w:rPr>
          <w:rFonts w:ascii="Calibri" w:hAnsi="Calibri"/>
          <w:sz w:val="22"/>
        </w:rPr>
        <w:t>.</w:t>
      </w:r>
      <w:r w:rsidR="00D93BE2" w:rsidRPr="00783603">
        <w:rPr>
          <w:rFonts w:ascii="Calibri" w:hAnsi="Calibri"/>
          <w:sz w:val="22"/>
        </w:rPr>
        <w:t xml:space="preserve"> </w:t>
      </w:r>
    </w:p>
    <w:p w:rsidR="00D93BE2" w:rsidRPr="00783603" w:rsidRDefault="00D93BE2" w:rsidP="00D93BE2">
      <w:pPr>
        <w:pStyle w:val="Brdtekst"/>
        <w:ind w:left="360"/>
        <w:jc w:val="left"/>
        <w:rPr>
          <w:rFonts w:ascii="Calibri" w:hAnsi="Calibri"/>
          <w:sz w:val="22"/>
        </w:rPr>
      </w:pPr>
    </w:p>
    <w:p w:rsidR="00D93BE2" w:rsidRPr="00783603" w:rsidRDefault="00D93BE2" w:rsidP="00943D84">
      <w:pPr>
        <w:pStyle w:val="Brdtekst"/>
        <w:numPr>
          <w:ilvl w:val="0"/>
          <w:numId w:val="2"/>
        </w:numPr>
        <w:jc w:val="left"/>
        <w:rPr>
          <w:rFonts w:ascii="Calibri" w:hAnsi="Calibri"/>
          <w:sz w:val="22"/>
        </w:rPr>
      </w:pPr>
      <w:r w:rsidRPr="00783603">
        <w:rPr>
          <w:rFonts w:ascii="Calibri" w:hAnsi="Calibri"/>
          <w:sz w:val="22"/>
        </w:rPr>
        <w:t>BHR har ansvar for at plan for sikkerhet, helse og arbeidsmiljø utarbeides i samsvar med BHF §§ 7 og 8: SHA - planen</w:t>
      </w:r>
      <w:r w:rsidR="00EF5C51" w:rsidRPr="00783603">
        <w:rPr>
          <w:rFonts w:ascii="Calibri" w:hAnsi="Calibri"/>
          <w:sz w:val="22"/>
        </w:rPr>
        <w:t xml:space="preserve"> skal</w:t>
      </w:r>
      <w:r w:rsidRPr="00783603">
        <w:rPr>
          <w:rFonts w:ascii="Calibri" w:hAnsi="Calibri"/>
          <w:sz w:val="22"/>
        </w:rPr>
        <w:t xml:space="preserve"> synliggjøre risikoforholdene i prosjektet samt hvilke spesifikke risikoreduserende tiltak som er valgt. SHA- planen skal være tilpasset det arbeid som skal utføres og det må legges spesiell vekt på særlige risikoområder jf. BHF § 8 c.</w:t>
      </w:r>
      <w:r w:rsidRPr="00783603">
        <w:rPr>
          <w:rFonts w:ascii="Calibri" w:hAnsi="Calibri"/>
        </w:rPr>
        <w:t xml:space="preserve"> </w:t>
      </w:r>
    </w:p>
    <w:p w:rsidR="00D93BE2" w:rsidRPr="00783603" w:rsidRDefault="00D93BE2" w:rsidP="00D93BE2"/>
    <w:p w:rsidR="00943D84" w:rsidRPr="00783603" w:rsidRDefault="00D93BE2" w:rsidP="00D93BE2">
      <w:pPr>
        <w:pStyle w:val="Brdtekst"/>
        <w:numPr>
          <w:ilvl w:val="0"/>
          <w:numId w:val="2"/>
        </w:numPr>
        <w:jc w:val="left"/>
        <w:rPr>
          <w:rFonts w:ascii="Calibri" w:hAnsi="Calibri"/>
          <w:sz w:val="22"/>
        </w:rPr>
      </w:pPr>
      <w:r w:rsidRPr="00783603">
        <w:rPr>
          <w:rFonts w:ascii="Calibri" w:hAnsi="Calibri"/>
          <w:sz w:val="22"/>
        </w:rPr>
        <w:t>BHR har ansvar for å fylle ut og sende inn forhåndsmelding til Arbeidstilsynet iht. BHF § 10 om ”Forhånds</w:t>
      </w:r>
      <w:r w:rsidRPr="00783603">
        <w:rPr>
          <w:rFonts w:ascii="Calibri" w:hAnsi="Calibri"/>
          <w:sz w:val="22"/>
        </w:rPr>
        <w:softHyphen/>
        <w:t>melding om midlertidig eller skiftende arbeidsplass”.</w:t>
      </w:r>
    </w:p>
    <w:p w:rsidR="00943D84" w:rsidRPr="00783603" w:rsidRDefault="00943D84" w:rsidP="00943D84">
      <w:pPr>
        <w:pStyle w:val="Brdtekst"/>
        <w:jc w:val="left"/>
        <w:rPr>
          <w:rFonts w:ascii="Calibri" w:hAnsi="Calibri"/>
          <w:sz w:val="22"/>
        </w:rPr>
      </w:pPr>
    </w:p>
    <w:p w:rsidR="00943D84" w:rsidRPr="00783603" w:rsidRDefault="00F42096" w:rsidP="00D93BE2">
      <w:pPr>
        <w:pStyle w:val="Brdtekst"/>
        <w:numPr>
          <w:ilvl w:val="0"/>
          <w:numId w:val="2"/>
        </w:numPr>
        <w:jc w:val="left"/>
        <w:rPr>
          <w:rFonts w:ascii="Calibri" w:hAnsi="Calibri"/>
          <w:sz w:val="22"/>
        </w:rPr>
      </w:pPr>
      <w:r w:rsidRPr="00783603">
        <w:rPr>
          <w:rFonts w:ascii="Calibri" w:hAnsi="Calibri"/>
          <w:sz w:val="22"/>
        </w:rPr>
        <w:t>BHR</w:t>
      </w:r>
      <w:r w:rsidR="00943D84" w:rsidRPr="00783603">
        <w:rPr>
          <w:rFonts w:ascii="Calibri" w:hAnsi="Calibri"/>
          <w:sz w:val="22"/>
        </w:rPr>
        <w:t xml:space="preserve"> har ansvar for kontroll av </w:t>
      </w:r>
      <w:r w:rsidRPr="00783603">
        <w:rPr>
          <w:rFonts w:ascii="Calibri" w:hAnsi="Calibri"/>
          <w:sz w:val="22"/>
        </w:rPr>
        <w:t>SHA</w:t>
      </w:r>
      <w:r w:rsidR="00943D84" w:rsidRPr="00783603">
        <w:rPr>
          <w:rFonts w:ascii="Calibri" w:hAnsi="Calibri"/>
          <w:sz w:val="22"/>
        </w:rPr>
        <w:t xml:space="preserve"> - systemene hos hovedbedriften i prosjektet</w:t>
      </w:r>
      <w:r w:rsidR="00AF5057" w:rsidRPr="00783603">
        <w:rPr>
          <w:rFonts w:ascii="Calibri" w:hAnsi="Calibri"/>
          <w:sz w:val="22"/>
        </w:rPr>
        <w:t>, noe som innebærer å</w:t>
      </w:r>
      <w:r w:rsidR="00943D84" w:rsidRPr="00783603">
        <w:rPr>
          <w:rFonts w:ascii="Calibri" w:hAnsi="Calibri"/>
          <w:sz w:val="22"/>
        </w:rPr>
        <w:t xml:space="preserve"> kontrollere at hovedbedriftens </w:t>
      </w:r>
      <w:r w:rsidRPr="00783603">
        <w:rPr>
          <w:rFonts w:ascii="Calibri" w:hAnsi="Calibri"/>
          <w:sz w:val="22"/>
        </w:rPr>
        <w:t>SHA</w:t>
      </w:r>
      <w:r w:rsidR="00943D84" w:rsidRPr="00783603">
        <w:rPr>
          <w:rFonts w:ascii="Calibri" w:hAnsi="Calibri"/>
          <w:sz w:val="22"/>
        </w:rPr>
        <w:t xml:space="preserve"> - systemer legger til rette for en tilfredsstillende oppfølgning av alle virksomheter på byggeplassen.  </w:t>
      </w:r>
    </w:p>
    <w:p w:rsidR="00892712" w:rsidRPr="00783603" w:rsidRDefault="00892712" w:rsidP="00783603"/>
    <w:p w:rsidR="00D93BE2" w:rsidRPr="00783603" w:rsidRDefault="00AF5057" w:rsidP="00943D84">
      <w:pPr>
        <w:numPr>
          <w:ilvl w:val="0"/>
          <w:numId w:val="2"/>
        </w:numPr>
      </w:pPr>
      <w:r w:rsidRPr="00783603">
        <w:t>BHR har ansvar</w:t>
      </w:r>
      <w:r w:rsidR="00892712" w:rsidRPr="00783603">
        <w:t xml:space="preserve"> for at det utarbeides dokumentasjon for bygningen eller anlegget om de forhold som kan ha betydning for sikkerhet, helse og arbeidsmiljø ved fremtidige arbeider, jf BHF § 12.</w:t>
      </w:r>
      <w:r w:rsidR="00D93BE2" w:rsidRPr="00783603">
        <w:t xml:space="preserve"> </w:t>
      </w:r>
    </w:p>
    <w:p w:rsidR="00D93BE2" w:rsidRPr="00783603" w:rsidRDefault="00D93BE2" w:rsidP="00783603"/>
    <w:p w:rsidR="00892712" w:rsidRPr="00783603" w:rsidRDefault="00D93BE2" w:rsidP="00943D84">
      <w:pPr>
        <w:numPr>
          <w:ilvl w:val="0"/>
          <w:numId w:val="2"/>
        </w:numPr>
      </w:pPr>
      <w:r w:rsidRPr="00783603">
        <w:lastRenderedPageBreak/>
        <w:t>BHR har ansvar for å utpeke koordinator for prosjekterings- og utførelsesfasen i de tilfeller det er behov, og gjennom skriftlig avtale klargjøre de oppgaver og fullmakter som skal gjelde for koordinatorenes arbeid. BHR skal godkjenne og skriftlig underrette BH om de valgte koordinatorer. BHR har ansvar for jevnlig å følge opp at koordinator(ene) oppfyller sine plikter, jf § 13.</w:t>
      </w:r>
    </w:p>
    <w:p w:rsidR="00943D84" w:rsidRPr="00783603" w:rsidRDefault="00943D84" w:rsidP="00943D84"/>
    <w:p w:rsidR="00943D84" w:rsidRPr="00783603" w:rsidRDefault="00F42096" w:rsidP="00943D84">
      <w:pPr>
        <w:numPr>
          <w:ilvl w:val="0"/>
          <w:numId w:val="2"/>
        </w:numPr>
      </w:pPr>
      <w:r w:rsidRPr="00783603">
        <w:t>BHR</w:t>
      </w:r>
      <w:r w:rsidR="00514D80" w:rsidRPr="00783603">
        <w:t xml:space="preserve"> har ansvar</w:t>
      </w:r>
      <w:r w:rsidR="00943D84" w:rsidRPr="00783603">
        <w:t xml:space="preserve"> for at vår</w:t>
      </w:r>
      <w:r w:rsidR="00514D80" w:rsidRPr="00783603">
        <w:t xml:space="preserve">e </w:t>
      </w:r>
      <w:r w:rsidR="00943D84" w:rsidRPr="00783603">
        <w:t>prosedyre</w:t>
      </w:r>
      <w:r w:rsidR="00514D80" w:rsidRPr="00783603">
        <w:t>r på området</w:t>
      </w:r>
      <w:r w:rsidR="00943D84" w:rsidRPr="00783603">
        <w:t xml:space="preserve"> i ProSmart følges</w:t>
      </w:r>
      <w:r w:rsidR="00514D80" w:rsidRPr="00783603">
        <w:t>.</w:t>
      </w:r>
      <w:r w:rsidR="00943D84" w:rsidRPr="00783603">
        <w:br/>
      </w:r>
    </w:p>
    <w:p w:rsidR="00943D84" w:rsidRPr="00783603" w:rsidRDefault="00D93BE2" w:rsidP="00943D84">
      <w:pPr>
        <w:numPr>
          <w:ilvl w:val="0"/>
          <w:numId w:val="2"/>
        </w:numPr>
      </w:pPr>
      <w:r w:rsidRPr="00783603">
        <w:t>BHR har ansvar for, og er bemyndiget til å utpeke sin stedfortreder, som trer inn i BHRs funksjons-, ansvars- og myndighetsområde ved sykdom, permisjon, ferie og lignende.</w:t>
      </w:r>
      <w:r w:rsidR="00943D84" w:rsidRPr="00783603">
        <w:br/>
      </w:r>
    </w:p>
    <w:p w:rsidR="007A09E6" w:rsidRPr="00783603" w:rsidRDefault="007A09E6" w:rsidP="007A09E6"/>
    <w:p w:rsidR="00514D80" w:rsidRPr="00783603" w:rsidRDefault="00514D80" w:rsidP="007A09E6"/>
    <w:p w:rsidR="007A09E6" w:rsidRPr="00783603" w:rsidRDefault="007A09E6" w:rsidP="007A09E6">
      <w:pPr>
        <w:rPr>
          <w:szCs w:val="22"/>
        </w:rPr>
      </w:pPr>
      <w:r w:rsidRPr="00783603">
        <w:rPr>
          <w:szCs w:val="22"/>
        </w:rPr>
        <w:t>Denne avtalen er utferdiget i to eksemplarer hvorav partene beholder hvert sitt</w:t>
      </w:r>
      <w:r w:rsidR="00943D84" w:rsidRPr="00783603">
        <w:rPr>
          <w:szCs w:val="22"/>
        </w:rPr>
        <w:t>.</w:t>
      </w:r>
    </w:p>
    <w:p w:rsidR="007A09E6" w:rsidRPr="00783603" w:rsidRDefault="007A09E6" w:rsidP="007A09E6">
      <w:r w:rsidRPr="00783603">
        <w:br/>
      </w:r>
      <w:r w:rsidRPr="00783603">
        <w:br/>
      </w:r>
    </w:p>
    <w:p w:rsidR="00943D84" w:rsidRPr="00783603" w:rsidRDefault="00943D84" w:rsidP="00943D84">
      <w:bookmarkStart w:id="1" w:name="_PRISTILBUD_1"/>
      <w:bookmarkStart w:id="2" w:name="_PRISTILBUD_2"/>
      <w:bookmarkStart w:id="3" w:name="_FORHÅNDSMELDING_TIL_ARBEIDSTILSYNET_2"/>
      <w:bookmarkEnd w:id="1"/>
      <w:bookmarkEnd w:id="2"/>
      <w:bookmarkEnd w:id="3"/>
      <w:r w:rsidRPr="00783603">
        <w:t xml:space="preserve">Sted og dato: </w:t>
      </w:r>
      <w:r w:rsidRPr="00783603">
        <w:tab/>
        <w:t>_____________________</w:t>
      </w:r>
    </w:p>
    <w:p w:rsidR="00943D84" w:rsidRPr="00783603" w:rsidRDefault="00943D84" w:rsidP="00943D84"/>
    <w:p w:rsidR="00943D84" w:rsidRPr="00783603" w:rsidRDefault="00943D84" w:rsidP="00943D84"/>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4068"/>
        <w:gridCol w:w="679"/>
        <w:gridCol w:w="4181"/>
        <w:gridCol w:w="566"/>
      </w:tblGrid>
      <w:tr w:rsidR="00943D84" w:rsidRPr="00783603" w:rsidTr="008072D3">
        <w:tc>
          <w:tcPr>
            <w:tcW w:w="4068" w:type="dxa"/>
            <w:tcBorders>
              <w:top w:val="nil"/>
              <w:left w:val="nil"/>
              <w:bottom w:val="single" w:sz="4" w:space="0" w:color="auto"/>
              <w:right w:val="nil"/>
            </w:tcBorders>
          </w:tcPr>
          <w:p w:rsidR="00943D84" w:rsidRPr="00783603" w:rsidRDefault="00943D84" w:rsidP="00943D84"/>
        </w:tc>
        <w:tc>
          <w:tcPr>
            <w:tcW w:w="679" w:type="dxa"/>
            <w:tcBorders>
              <w:top w:val="nil"/>
              <w:left w:val="nil"/>
              <w:bottom w:val="nil"/>
              <w:right w:val="nil"/>
            </w:tcBorders>
          </w:tcPr>
          <w:p w:rsidR="00943D84" w:rsidRPr="00783603" w:rsidRDefault="00943D84" w:rsidP="00943D84"/>
        </w:tc>
        <w:tc>
          <w:tcPr>
            <w:tcW w:w="4181" w:type="dxa"/>
            <w:tcBorders>
              <w:top w:val="nil"/>
              <w:left w:val="nil"/>
              <w:bottom w:val="single" w:sz="4" w:space="0" w:color="auto"/>
              <w:right w:val="nil"/>
            </w:tcBorders>
          </w:tcPr>
          <w:p w:rsidR="00943D84" w:rsidRPr="00783603" w:rsidRDefault="00943D84" w:rsidP="00943D84"/>
        </w:tc>
        <w:tc>
          <w:tcPr>
            <w:tcW w:w="566" w:type="dxa"/>
            <w:tcBorders>
              <w:top w:val="nil"/>
              <w:left w:val="nil"/>
              <w:bottom w:val="nil"/>
              <w:right w:val="nil"/>
            </w:tcBorders>
          </w:tcPr>
          <w:p w:rsidR="00943D84" w:rsidRPr="00783603" w:rsidRDefault="00943D84" w:rsidP="00943D84"/>
        </w:tc>
      </w:tr>
      <w:tr w:rsidR="00943D84" w:rsidRPr="00783603" w:rsidTr="008072D3">
        <w:tc>
          <w:tcPr>
            <w:tcW w:w="4747" w:type="dxa"/>
            <w:gridSpan w:val="2"/>
            <w:tcBorders>
              <w:top w:val="nil"/>
              <w:left w:val="nil"/>
              <w:bottom w:val="nil"/>
              <w:right w:val="nil"/>
            </w:tcBorders>
          </w:tcPr>
          <w:p w:rsidR="00943D84" w:rsidRPr="00783603" w:rsidRDefault="00943D84" w:rsidP="00943D84">
            <w:r w:rsidRPr="00783603">
              <w:t>Sign.</w:t>
            </w:r>
          </w:p>
        </w:tc>
        <w:tc>
          <w:tcPr>
            <w:tcW w:w="4747" w:type="dxa"/>
            <w:gridSpan w:val="2"/>
            <w:tcBorders>
              <w:top w:val="nil"/>
              <w:left w:val="nil"/>
              <w:bottom w:val="nil"/>
              <w:right w:val="nil"/>
            </w:tcBorders>
          </w:tcPr>
          <w:p w:rsidR="00943D84" w:rsidRPr="00783603" w:rsidRDefault="00943D84" w:rsidP="00943D84">
            <w:r w:rsidRPr="00783603">
              <w:t>Sign.</w:t>
            </w:r>
          </w:p>
        </w:tc>
      </w:tr>
      <w:tr w:rsidR="00943D84" w:rsidRPr="00783603" w:rsidTr="008072D3">
        <w:tc>
          <w:tcPr>
            <w:tcW w:w="4747" w:type="dxa"/>
            <w:gridSpan w:val="2"/>
            <w:tcBorders>
              <w:top w:val="nil"/>
              <w:left w:val="nil"/>
              <w:bottom w:val="nil"/>
              <w:right w:val="nil"/>
            </w:tcBorders>
          </w:tcPr>
          <w:p w:rsidR="00943D84" w:rsidRPr="00783603" w:rsidRDefault="00943D84" w:rsidP="00943D84">
            <w:r w:rsidRPr="00783603">
              <w:t>Undervisningsbygg Oslo KF</w:t>
            </w:r>
          </w:p>
        </w:tc>
        <w:tc>
          <w:tcPr>
            <w:tcW w:w="4747" w:type="dxa"/>
            <w:gridSpan w:val="2"/>
            <w:tcBorders>
              <w:top w:val="nil"/>
              <w:left w:val="nil"/>
              <w:bottom w:val="nil"/>
              <w:right w:val="nil"/>
            </w:tcBorders>
          </w:tcPr>
          <w:p w:rsidR="00943D84" w:rsidRPr="00783603" w:rsidRDefault="00943D84" w:rsidP="00943D84">
            <w:r w:rsidRPr="00783603">
              <w:rPr>
                <w:sz w:val="20"/>
              </w:rPr>
              <w:t xml:space="preserve">&lt;for </w:t>
            </w:r>
            <w:r w:rsidR="00F42096" w:rsidRPr="00783603">
              <w:rPr>
                <w:sz w:val="20"/>
              </w:rPr>
              <w:t>BHR</w:t>
            </w:r>
            <w:r w:rsidRPr="00783603">
              <w:rPr>
                <w:sz w:val="20"/>
              </w:rPr>
              <w:t>-Firma&gt;,</w:t>
            </w:r>
          </w:p>
        </w:tc>
      </w:tr>
      <w:tr w:rsidR="00943D84" w:rsidRPr="00783603" w:rsidTr="008072D3">
        <w:tc>
          <w:tcPr>
            <w:tcW w:w="4747" w:type="dxa"/>
            <w:gridSpan w:val="2"/>
            <w:tcBorders>
              <w:top w:val="nil"/>
              <w:left w:val="nil"/>
              <w:bottom w:val="nil"/>
              <w:right w:val="nil"/>
            </w:tcBorders>
          </w:tcPr>
          <w:p w:rsidR="00943D84" w:rsidRPr="00783603" w:rsidRDefault="00514D80" w:rsidP="00943D84">
            <w:r w:rsidRPr="00783603">
              <w:t>&lt;SL</w:t>
            </w:r>
            <w:r w:rsidR="00892712" w:rsidRPr="00783603">
              <w:t>&gt;</w:t>
            </w:r>
          </w:p>
        </w:tc>
        <w:tc>
          <w:tcPr>
            <w:tcW w:w="4747" w:type="dxa"/>
            <w:gridSpan w:val="2"/>
            <w:tcBorders>
              <w:top w:val="nil"/>
              <w:left w:val="nil"/>
              <w:bottom w:val="nil"/>
              <w:right w:val="nil"/>
            </w:tcBorders>
          </w:tcPr>
          <w:p w:rsidR="00943D84" w:rsidRPr="00783603" w:rsidRDefault="00943D84" w:rsidP="00943D84">
            <w:pPr>
              <w:rPr>
                <w:sz w:val="20"/>
              </w:rPr>
            </w:pPr>
            <w:r w:rsidRPr="00783603">
              <w:rPr>
                <w:sz w:val="20"/>
              </w:rPr>
              <w:t>&lt;</w:t>
            </w:r>
            <w:r w:rsidR="00F42096" w:rsidRPr="00783603">
              <w:rPr>
                <w:sz w:val="20"/>
              </w:rPr>
              <w:t>BHR</w:t>
            </w:r>
            <w:r w:rsidRPr="00783603">
              <w:rPr>
                <w:sz w:val="20"/>
              </w:rPr>
              <w:t>-Navn&gt;</w:t>
            </w:r>
          </w:p>
        </w:tc>
      </w:tr>
    </w:tbl>
    <w:p w:rsidR="000C0071" w:rsidRPr="00783603" w:rsidRDefault="000C0071" w:rsidP="00783603"/>
    <w:sectPr w:rsidR="000C0071" w:rsidRPr="00783603" w:rsidSect="00783603">
      <w:headerReference w:type="default" r:id="rId8"/>
      <w:footerReference w:type="default" r:id="rId9"/>
      <w:headerReference w:type="first" r:id="rId10"/>
      <w:footerReference w:type="first" r:id="rId11"/>
      <w:pgSz w:w="11906" w:h="16838" w:code="9"/>
      <w:pgMar w:top="1304" w:right="1134" w:bottom="102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340" w:rsidRDefault="00F60340">
      <w:r>
        <w:separator/>
      </w:r>
    </w:p>
  </w:endnote>
  <w:endnote w:type="continuationSeparator" w:id="0">
    <w:p w:rsidR="00F60340" w:rsidRDefault="00F6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603" w:rsidRPr="00A8394D" w:rsidRDefault="00783603" w:rsidP="00783603">
    <w:pPr>
      <w:jc w:val="right"/>
      <w:rPr>
        <w:sz w:val="20"/>
      </w:rPr>
    </w:pPr>
    <w:r w:rsidRPr="00A8394D">
      <w:rPr>
        <w:sz w:val="20"/>
      </w:rPr>
      <w:t xml:space="preserve">Side </w:t>
    </w:r>
    <w:r w:rsidRPr="00A8394D">
      <w:rPr>
        <w:sz w:val="20"/>
      </w:rPr>
      <w:fldChar w:fldCharType="begin"/>
    </w:r>
    <w:r w:rsidRPr="00A8394D">
      <w:rPr>
        <w:sz w:val="20"/>
      </w:rPr>
      <w:instrText xml:space="preserve"> PAGE   \* MERGEFORMAT </w:instrText>
    </w:r>
    <w:r w:rsidRPr="00A8394D">
      <w:rPr>
        <w:sz w:val="20"/>
      </w:rPr>
      <w:fldChar w:fldCharType="separate"/>
    </w:r>
    <w:r w:rsidR="00F60340">
      <w:rPr>
        <w:noProof/>
        <w:sz w:val="20"/>
      </w:rPr>
      <w:t>2</w:t>
    </w:r>
    <w:r w:rsidRPr="00A8394D">
      <w:rPr>
        <w:sz w:val="20"/>
      </w:rPr>
      <w:fldChar w:fldCharType="end"/>
    </w:r>
    <w:r w:rsidRPr="00A8394D">
      <w:rPr>
        <w:sz w:val="20"/>
      </w:rPr>
      <w:t xml:space="preserve"> av </w:t>
    </w:r>
    <w:r w:rsidRPr="00A8394D">
      <w:rPr>
        <w:sz w:val="20"/>
      </w:rPr>
      <w:fldChar w:fldCharType="begin"/>
    </w:r>
    <w:r w:rsidRPr="00A8394D">
      <w:rPr>
        <w:sz w:val="20"/>
      </w:rPr>
      <w:instrText xml:space="preserve"> NUMPAGES  \# "0"  \* MERGEFORMAT </w:instrText>
    </w:r>
    <w:r w:rsidRPr="00A8394D">
      <w:rPr>
        <w:sz w:val="20"/>
      </w:rPr>
      <w:fldChar w:fldCharType="separate"/>
    </w:r>
    <w:r w:rsidR="00F60340">
      <w:rPr>
        <w:noProof/>
        <w:sz w:val="20"/>
      </w:rPr>
      <w:t>2</w:t>
    </w:r>
    <w:r w:rsidRPr="00A8394D">
      <w:rPr>
        <w:sz w:val="20"/>
      </w:rPr>
      <w:fldChar w:fldCharType="end"/>
    </w:r>
  </w:p>
  <w:p w:rsidR="00D93BE2" w:rsidRDefault="00F60340">
    <w:r>
      <w:rPr>
        <w:noProof/>
        <w:lang w:eastAsia="nb-NO"/>
      </w:rPr>
      <w:pict>
        <v:shapetype id="_x0000_t202" coordsize="21600,21600" o:spt="202" path="m,l,21600r21600,l21600,xe">
          <v:stroke joinstyle="miter"/>
          <v:path gradientshapeok="t" o:connecttype="rect"/>
        </v:shapetype>
        <v:shape id="_x0000_s2052" type="#_x0000_t202" style="position:absolute;margin-left:30.35pt;margin-top:817.9pt;width:40.55pt;height:8.5pt;z-index:251661824;mso-wrap-style:none;mso-position-horizontal-relative:page;mso-position-vertical-relative:page" stroked="f">
          <v:textbox inset="0,0,0,0">
            <w:txbxContent>
              <w:p w:rsidR="00E66634" w:rsidRPr="00783603" w:rsidRDefault="00F60340" w:rsidP="00E66634">
                <w:pPr>
                  <w:rPr>
                    <w:sz w:val="16"/>
                    <w:szCs w:val="16"/>
                  </w:rPr>
                </w:pPr>
                <w:r>
                  <w:fldChar w:fldCharType="begin"/>
                </w:r>
                <w:r>
                  <w:instrText xml:space="preserve"> DOCPROPERTY  Dokumentnummer  \* MERGEFORMAT </w:instrText>
                </w:r>
                <w:r>
                  <w:fldChar w:fldCharType="separate"/>
                </w:r>
                <w:r w:rsidRPr="00F60340">
                  <w:rPr>
                    <w:bCs/>
                    <w:color w:val="999999"/>
                    <w:sz w:val="16"/>
                    <w:szCs w:val="16"/>
                  </w:rPr>
                  <w:t>100905</w:t>
                </w:r>
                <w:r>
                  <w:rPr>
                    <w:bCs/>
                    <w:color w:val="999999"/>
                    <w:sz w:val="16"/>
                    <w:szCs w:val="16"/>
                  </w:rPr>
                  <w:fldChar w:fldCharType="end"/>
                </w:r>
                <w:r w:rsidR="00E66634" w:rsidRPr="00783603">
                  <w:rPr>
                    <w:color w:val="999999"/>
                    <w:sz w:val="16"/>
                    <w:szCs w:val="16"/>
                  </w:rPr>
                  <w:t xml:space="preserve"> - </w:t>
                </w:r>
                <w:r>
                  <w:fldChar w:fldCharType="begin"/>
                </w:r>
                <w:r>
                  <w:instrText xml:space="preserve"> DOCPROPERTY  Status  \* MERGEFORMAT </w:instrText>
                </w:r>
                <w:r>
                  <w:fldChar w:fldCharType="separate"/>
                </w:r>
                <w:r w:rsidRPr="00F60340">
                  <w:rPr>
                    <w:bCs/>
                    <w:color w:val="999999"/>
                    <w:sz w:val="16"/>
                    <w:szCs w:val="16"/>
                  </w:rPr>
                  <w:t>1.0</w:t>
                </w:r>
                <w:r>
                  <w:rPr>
                    <w:bCs/>
                    <w:color w:val="999999"/>
                    <w:sz w:val="16"/>
                    <w:szCs w:val="16"/>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4" w:rsidRDefault="00F60340">
    <w:r>
      <w:rPr>
        <w:noProof/>
        <w:lang w:eastAsia="nb-NO"/>
      </w:rPr>
      <w:pict>
        <v:shapetype id="_x0000_t202" coordsize="21600,21600" o:spt="202" path="m,l,21600r21600,l21600,xe">
          <v:stroke joinstyle="miter"/>
          <v:path gradientshapeok="t" o:connecttype="rect"/>
        </v:shapetype>
        <v:shape id="_x0000_s2051" type="#_x0000_t202" style="position:absolute;margin-left:30.35pt;margin-top:817.9pt;width:40.55pt;height:8.5pt;z-index:251660800;mso-wrap-style:none;mso-position-horizontal-relative:page;mso-position-vertical-relative:page" stroked="f">
          <v:textbox inset="0,0,0,0">
            <w:txbxContent>
              <w:p w:rsidR="00E66634" w:rsidRPr="00783603" w:rsidRDefault="00F60340" w:rsidP="00E66634">
                <w:pPr>
                  <w:rPr>
                    <w:sz w:val="16"/>
                    <w:szCs w:val="16"/>
                  </w:rPr>
                </w:pPr>
                <w:r>
                  <w:fldChar w:fldCharType="begin"/>
                </w:r>
                <w:r>
                  <w:instrText xml:space="preserve"> DOCPROPERTY  Dokumentnummer  \* MERGEFORMAT </w:instrText>
                </w:r>
                <w:r>
                  <w:fldChar w:fldCharType="separate"/>
                </w:r>
                <w:r w:rsidRPr="00F60340">
                  <w:rPr>
                    <w:bCs/>
                    <w:color w:val="999999"/>
                    <w:sz w:val="16"/>
                    <w:szCs w:val="16"/>
                  </w:rPr>
                  <w:t>100905</w:t>
                </w:r>
                <w:r>
                  <w:rPr>
                    <w:bCs/>
                    <w:color w:val="999999"/>
                    <w:sz w:val="16"/>
                    <w:szCs w:val="16"/>
                  </w:rPr>
                  <w:fldChar w:fldCharType="end"/>
                </w:r>
                <w:r w:rsidR="00E66634" w:rsidRPr="00783603">
                  <w:rPr>
                    <w:color w:val="999999"/>
                    <w:sz w:val="16"/>
                    <w:szCs w:val="16"/>
                  </w:rPr>
                  <w:t xml:space="preserve"> - </w:t>
                </w:r>
                <w:r>
                  <w:fldChar w:fldCharType="begin"/>
                </w:r>
                <w:r>
                  <w:instrText xml:space="preserve"> DOCPROPERTY  Status  \* MERGEFORMAT </w:instrText>
                </w:r>
                <w:r>
                  <w:fldChar w:fldCharType="separate"/>
                </w:r>
                <w:r w:rsidRPr="00F60340">
                  <w:rPr>
                    <w:bCs/>
                    <w:color w:val="999999"/>
                    <w:sz w:val="16"/>
                    <w:szCs w:val="16"/>
                  </w:rPr>
                  <w:t>1.0</w:t>
                </w:r>
                <w:r>
                  <w:rPr>
                    <w:bCs/>
                    <w:color w:val="999999"/>
                    <w:sz w:val="16"/>
                    <w:szCs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340" w:rsidRDefault="00F60340">
      <w:r>
        <w:separator/>
      </w:r>
    </w:p>
  </w:footnote>
  <w:footnote w:type="continuationSeparator" w:id="0">
    <w:p w:rsidR="00F60340" w:rsidRDefault="00F60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E2" w:rsidRDefault="00F60340">
    <w:r>
      <w:rPr>
        <w:noProof/>
        <w:lang w:eastAsia="nb-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1.2pt;margin-top:31.2pt;width:172.9pt;height:28.2pt;z-index:251659776;mso-position-horizontal-relative:page;mso-position-vertical-relative:page" o:allowincell="f" o:allowoverlap="f">
          <v:imagedata r:id="rId1" o:title=""/>
          <w10:wrap type="square" anchorx="page" anchory="page"/>
          <w10:anchorlock/>
        </v:shape>
        <o:OLEObject Type="Embed" ProgID="Imaging.Document" ShapeID="_x0000_s2050" DrawAspect="Content" ObjectID="_1448284117" r:id="rId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4" w:rsidRDefault="00E66634">
    <w:r>
      <w:rPr>
        <w:noProof/>
        <w:lang w:eastAsia="nb-NO"/>
      </w:rPr>
      <w:drawing>
        <wp:anchor distT="0" distB="0" distL="114300" distR="114300" simplePos="0" relativeHeight="251658752" behindDoc="0" locked="1" layoutInCell="0" allowOverlap="0">
          <wp:simplePos x="0" y="0"/>
          <wp:positionH relativeFrom="page">
            <wp:posOffset>396240</wp:posOffset>
          </wp:positionH>
          <wp:positionV relativeFrom="page">
            <wp:posOffset>396240</wp:posOffset>
          </wp:positionV>
          <wp:extent cx="2613660" cy="417830"/>
          <wp:effectExtent l="19050" t="0" r="0" b="0"/>
          <wp:wrapSquare wrapText="bothSides"/>
          <wp:docPr id="2" name="Bilde 1" descr="UB_logo_RGB_formin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_logo_RGB_forminsket"/>
                  <pic:cNvPicPr>
                    <a:picLocks noChangeAspect="1" noChangeArrowheads="1"/>
                  </pic:cNvPicPr>
                </pic:nvPicPr>
                <pic:blipFill>
                  <a:blip r:embed="rId1"/>
                  <a:srcRect/>
                  <a:stretch>
                    <a:fillRect/>
                  </a:stretch>
                </pic:blipFill>
                <pic:spPr bwMode="auto">
                  <a:xfrm>
                    <a:off x="0" y="0"/>
                    <a:ext cx="2613660" cy="4178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524EE"/>
    <w:multiLevelType w:val="hybridMultilevel"/>
    <w:tmpl w:val="0FCC5C94"/>
    <w:lvl w:ilvl="0" w:tplc="0666F2F8">
      <w:start w:val="1"/>
      <w:numFmt w:val="decimal"/>
      <w:lvlText w:val="%1."/>
      <w:lvlJc w:val="left"/>
      <w:pPr>
        <w:tabs>
          <w:tab w:val="num" w:pos="360"/>
        </w:tabs>
        <w:ind w:left="360" w:hanging="360"/>
      </w:pPr>
      <w:rPr>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481463E1"/>
    <w:multiLevelType w:val="multilevel"/>
    <w:tmpl w:val="DDB617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5782AEA"/>
    <w:multiLevelType w:val="hybridMultilevel"/>
    <w:tmpl w:val="94D2A642"/>
    <w:lvl w:ilvl="0" w:tplc="FFFFFFFF">
      <w:start w:val="4"/>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60340"/>
    <w:rsid w:val="00011D43"/>
    <w:rsid w:val="00020064"/>
    <w:rsid w:val="0002086D"/>
    <w:rsid w:val="00050710"/>
    <w:rsid w:val="00050A96"/>
    <w:rsid w:val="00091014"/>
    <w:rsid w:val="000C0071"/>
    <w:rsid w:val="000D60C8"/>
    <w:rsid w:val="00114C72"/>
    <w:rsid w:val="00116D76"/>
    <w:rsid w:val="0013055D"/>
    <w:rsid w:val="00196796"/>
    <w:rsid w:val="001A3815"/>
    <w:rsid w:val="001A3E9B"/>
    <w:rsid w:val="001C013B"/>
    <w:rsid w:val="001D3466"/>
    <w:rsid w:val="001D53AF"/>
    <w:rsid w:val="00204E0F"/>
    <w:rsid w:val="00205DD7"/>
    <w:rsid w:val="00206F04"/>
    <w:rsid w:val="0021216A"/>
    <w:rsid w:val="0022799E"/>
    <w:rsid w:val="00253783"/>
    <w:rsid w:val="0029666F"/>
    <w:rsid w:val="002C0693"/>
    <w:rsid w:val="002D1205"/>
    <w:rsid w:val="002E1A5D"/>
    <w:rsid w:val="002E6355"/>
    <w:rsid w:val="0031705D"/>
    <w:rsid w:val="0032449C"/>
    <w:rsid w:val="003305AE"/>
    <w:rsid w:val="003A2B54"/>
    <w:rsid w:val="003C6180"/>
    <w:rsid w:val="003D2E12"/>
    <w:rsid w:val="003E55B9"/>
    <w:rsid w:val="004000D5"/>
    <w:rsid w:val="0042535E"/>
    <w:rsid w:val="00460C51"/>
    <w:rsid w:val="004B138A"/>
    <w:rsid w:val="00501F3D"/>
    <w:rsid w:val="00514D80"/>
    <w:rsid w:val="0052292E"/>
    <w:rsid w:val="005246F2"/>
    <w:rsid w:val="00524C62"/>
    <w:rsid w:val="00550569"/>
    <w:rsid w:val="00573EB1"/>
    <w:rsid w:val="0058646F"/>
    <w:rsid w:val="00603944"/>
    <w:rsid w:val="00682534"/>
    <w:rsid w:val="006B07C8"/>
    <w:rsid w:val="006B7BA3"/>
    <w:rsid w:val="00712518"/>
    <w:rsid w:val="00776110"/>
    <w:rsid w:val="00783603"/>
    <w:rsid w:val="007A09E6"/>
    <w:rsid w:val="007C4429"/>
    <w:rsid w:val="007D125C"/>
    <w:rsid w:val="007F07A9"/>
    <w:rsid w:val="007F6537"/>
    <w:rsid w:val="008048AC"/>
    <w:rsid w:val="008072D3"/>
    <w:rsid w:val="00825407"/>
    <w:rsid w:val="00826DDC"/>
    <w:rsid w:val="00835AB3"/>
    <w:rsid w:val="00835E11"/>
    <w:rsid w:val="008463AC"/>
    <w:rsid w:val="00892712"/>
    <w:rsid w:val="008D3C33"/>
    <w:rsid w:val="008E52F3"/>
    <w:rsid w:val="008F4C29"/>
    <w:rsid w:val="00943D84"/>
    <w:rsid w:val="009C4533"/>
    <w:rsid w:val="009D611B"/>
    <w:rsid w:val="009E1B85"/>
    <w:rsid w:val="00A5047A"/>
    <w:rsid w:val="00A772A7"/>
    <w:rsid w:val="00A83109"/>
    <w:rsid w:val="00A85629"/>
    <w:rsid w:val="00AA31B5"/>
    <w:rsid w:val="00AF4BE9"/>
    <w:rsid w:val="00AF5057"/>
    <w:rsid w:val="00B73486"/>
    <w:rsid w:val="00B84366"/>
    <w:rsid w:val="00BA0A11"/>
    <w:rsid w:val="00BC3707"/>
    <w:rsid w:val="00BE69B0"/>
    <w:rsid w:val="00C24F37"/>
    <w:rsid w:val="00C61E6D"/>
    <w:rsid w:val="00CA0BFC"/>
    <w:rsid w:val="00CA5562"/>
    <w:rsid w:val="00CD06A0"/>
    <w:rsid w:val="00CD14A1"/>
    <w:rsid w:val="00CD6DF3"/>
    <w:rsid w:val="00CE0A54"/>
    <w:rsid w:val="00CE4360"/>
    <w:rsid w:val="00CF06F7"/>
    <w:rsid w:val="00CF58BA"/>
    <w:rsid w:val="00D134A7"/>
    <w:rsid w:val="00D34A68"/>
    <w:rsid w:val="00D93BE2"/>
    <w:rsid w:val="00DE7502"/>
    <w:rsid w:val="00E03BC7"/>
    <w:rsid w:val="00E52FAC"/>
    <w:rsid w:val="00E54CA7"/>
    <w:rsid w:val="00E654F3"/>
    <w:rsid w:val="00E66634"/>
    <w:rsid w:val="00E872ED"/>
    <w:rsid w:val="00E93CCE"/>
    <w:rsid w:val="00EA51F8"/>
    <w:rsid w:val="00EE69BC"/>
    <w:rsid w:val="00EF5C51"/>
    <w:rsid w:val="00F25210"/>
    <w:rsid w:val="00F42096"/>
    <w:rsid w:val="00F60340"/>
    <w:rsid w:val="00F63070"/>
    <w:rsid w:val="00FB142D"/>
    <w:rsid w:val="00FC40A9"/>
    <w:rsid w:val="00FC6670"/>
    <w:rsid w:val="00FD1F92"/>
    <w:rsid w:val="00FD3C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603"/>
    <w:rPr>
      <w:rFonts w:ascii="Calibri" w:hAnsi="Calibri"/>
      <w:sz w:val="22"/>
      <w:lang w:eastAsia="en-US"/>
    </w:rPr>
  </w:style>
  <w:style w:type="paragraph" w:styleId="Overskrift1">
    <w:name w:val="heading 1"/>
    <w:basedOn w:val="Normal"/>
    <w:next w:val="Normal"/>
    <w:link w:val="Overskrift1Tegn"/>
    <w:uiPriority w:val="9"/>
    <w:qFormat/>
    <w:rsid w:val="00783603"/>
    <w:pPr>
      <w:keepNext/>
      <w:keepLines/>
      <w:spacing w:before="480"/>
      <w:outlineLvl w:val="0"/>
    </w:pPr>
    <w:rPr>
      <w:rFonts w:eastAsiaTheme="majorEastAsia" w:cstheme="majorBidi"/>
      <w:b/>
      <w:bCs/>
      <w:sz w:val="32"/>
      <w:szCs w:val="28"/>
    </w:rPr>
  </w:style>
  <w:style w:type="paragraph" w:styleId="Overskrift4">
    <w:name w:val="heading 4"/>
    <w:basedOn w:val="Normal"/>
    <w:next w:val="Normal"/>
    <w:qFormat/>
    <w:rsid w:val="007A09E6"/>
    <w:pPr>
      <w:keepNext/>
      <w:jc w:val="center"/>
      <w:outlineLvl w:val="3"/>
    </w:pPr>
    <w:rPr>
      <w:rFonts w:ascii="Arial" w:hAnsi="Arial" w:cs="Arial"/>
      <w:b/>
      <w:bCs/>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83603"/>
    <w:rPr>
      <w:rFonts w:ascii="Calibri" w:eastAsiaTheme="majorEastAsia" w:hAnsi="Calibri" w:cstheme="majorBidi"/>
      <w:b/>
      <w:bCs/>
      <w:sz w:val="32"/>
      <w:szCs w:val="28"/>
      <w:lang w:eastAsia="en-US"/>
    </w:rPr>
  </w:style>
  <w:style w:type="paragraph" w:styleId="Brdtekst">
    <w:name w:val="Body Text"/>
    <w:basedOn w:val="Normal"/>
    <w:rsid w:val="007A09E6"/>
    <w:pPr>
      <w:jc w:val="center"/>
    </w:pPr>
    <w:rPr>
      <w:rFonts w:ascii="Arial" w:hAnsi="Arial" w:cs="Arial"/>
      <w:sz w:val="28"/>
    </w:rPr>
  </w:style>
  <w:style w:type="paragraph" w:styleId="Undertittel">
    <w:name w:val="Subtitle"/>
    <w:basedOn w:val="Normal"/>
    <w:qFormat/>
    <w:rsid w:val="007A09E6"/>
    <w:rPr>
      <w:sz w:val="24"/>
    </w:rPr>
  </w:style>
  <w:style w:type="table" w:styleId="Tabellrutenett">
    <w:name w:val="Table Grid"/>
    <w:basedOn w:val="Vanligtabell"/>
    <w:rsid w:val="0094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Avdelinger\ANS\Anskaffelsesportalen\Drift%202013\BAE-%20Runes%20arbeidsdokument\UBF%20nye%20dok\100905-Avtale%20BH-BHR.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100905-Avtale BH-BHR</Template>
  <TotalTime>1</TotalTime>
  <Pages>2</Pages>
  <Words>523</Words>
  <Characters>2777</Characters>
  <Application>Microsoft Office Word</Application>
  <DocSecurity>8</DocSecurity>
  <Lines>23</Lines>
  <Paragraphs>6</Paragraphs>
  <ScaleCrop>false</ScaleCrop>
  <HeadingPairs>
    <vt:vector size="2" baseType="variant">
      <vt:variant>
        <vt:lpstr>Tittel</vt:lpstr>
      </vt:variant>
      <vt:variant>
        <vt:i4>1</vt:i4>
      </vt:variant>
    </vt:vector>
  </HeadingPairs>
  <TitlesOfParts>
    <vt:vector size="1" baseType="lpstr">
      <vt:lpstr>Avtale BH-BHR</vt:lpstr>
    </vt:vector>
  </TitlesOfParts>
  <Company>Andiamo</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 BH-BHR</dc:title>
  <dc:creator>Lavik-Haug, Rune</dc:creator>
  <dc:description>Ver. 1.0 - 16.04.2010: Ny mal knyttet til nytt opplegg for SHA, basert på gammelt system, dok. 100285.</dc:description>
  <cp:lastModifiedBy>Lavik-Haug, Rune</cp:lastModifiedBy>
  <cp:revision>1</cp:revision>
  <cp:lastPrinted>1900-12-31T23:00:00Z</cp:lastPrinted>
  <dcterms:created xsi:type="dcterms:W3CDTF">2013-12-11T15:20:00Z</dcterms:created>
  <dcterms:modified xsi:type="dcterms:W3CDTF">2013-12-11T15:21:00Z</dcterms:modified>
  <cp:category>Mal</cp:category>
  <cp:contentStatus>Godkjent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100905</vt:lpwstr>
  </property>
  <property fmtid="{D5CDD505-2E9C-101B-9397-08002B2CF9AE}" pid="3" name="Status">
    <vt:lpwstr>1.0</vt:lpwstr>
  </property>
  <property fmtid="{D5CDD505-2E9C-101B-9397-08002B2CF9AE}" pid="4" name="Sluttdato">
    <vt:lpwstr>17.04.2010</vt:lpwstr>
  </property>
  <property fmtid="{D5CDD505-2E9C-101B-9397-08002B2CF9AE}" pid="5" name="Registreringsdato">
    <vt:lpwstr>13.04.2010</vt:lpwstr>
  </property>
</Properties>
</file>