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21" w:rsidRDefault="006E14CF">
      <w:bookmarkStart w:id="0" w:name="_GoBack"/>
      <w:bookmarkEnd w:id="0"/>
      <w:r w:rsidRPr="00D13C3E">
        <w:rPr>
          <w:b/>
        </w:rPr>
        <w:t>Oversikt over endrede og/eller nye bestemmelser i SSA-</w:t>
      </w:r>
      <w:r>
        <w:rPr>
          <w:b/>
        </w:rPr>
        <w:t>K</w:t>
      </w:r>
      <w:r w:rsidRPr="00D13C3E">
        <w:rPr>
          <w:b/>
        </w:rPr>
        <w:t xml:space="preserve"> 2015</w:t>
      </w:r>
    </w:p>
    <w:tbl>
      <w:tblPr>
        <w:tblStyle w:val="Tabellrutenett"/>
        <w:tblW w:w="0" w:type="auto"/>
        <w:tblLook w:val="04A0" w:firstRow="1" w:lastRow="0" w:firstColumn="1" w:lastColumn="0" w:noHBand="0" w:noVBand="1"/>
      </w:tblPr>
      <w:tblGrid>
        <w:gridCol w:w="2376"/>
        <w:gridCol w:w="1418"/>
        <w:gridCol w:w="4961"/>
        <w:gridCol w:w="5343"/>
      </w:tblGrid>
      <w:tr w:rsidR="00701EB6" w:rsidRPr="00701EB6" w:rsidTr="00701EB6">
        <w:tc>
          <w:tcPr>
            <w:tcW w:w="2376" w:type="dxa"/>
          </w:tcPr>
          <w:p w:rsidR="00701EB6" w:rsidRPr="00701EB6" w:rsidRDefault="00701EB6">
            <w:pPr>
              <w:rPr>
                <w:b/>
              </w:rPr>
            </w:pPr>
            <w:r w:rsidRPr="00701EB6">
              <w:rPr>
                <w:b/>
              </w:rPr>
              <w:t>Stikkord</w:t>
            </w:r>
          </w:p>
        </w:tc>
        <w:tc>
          <w:tcPr>
            <w:tcW w:w="1418" w:type="dxa"/>
          </w:tcPr>
          <w:p w:rsidR="00701EB6" w:rsidRPr="00701EB6" w:rsidRDefault="00701EB6">
            <w:pPr>
              <w:rPr>
                <w:b/>
              </w:rPr>
            </w:pPr>
            <w:r w:rsidRPr="00701EB6">
              <w:rPr>
                <w:b/>
              </w:rPr>
              <w:t>Referanse</w:t>
            </w:r>
          </w:p>
        </w:tc>
        <w:tc>
          <w:tcPr>
            <w:tcW w:w="4961" w:type="dxa"/>
          </w:tcPr>
          <w:p w:rsidR="00701EB6" w:rsidRPr="00701EB6" w:rsidRDefault="00701EB6">
            <w:pPr>
              <w:rPr>
                <w:b/>
              </w:rPr>
            </w:pPr>
            <w:r w:rsidRPr="00701EB6">
              <w:rPr>
                <w:b/>
              </w:rPr>
              <w:t>Endringens art</w:t>
            </w:r>
          </w:p>
        </w:tc>
        <w:tc>
          <w:tcPr>
            <w:tcW w:w="5343" w:type="dxa"/>
          </w:tcPr>
          <w:p w:rsidR="00701EB6" w:rsidRPr="00701EB6" w:rsidRDefault="00701EB6">
            <w:pPr>
              <w:rPr>
                <w:b/>
              </w:rPr>
            </w:pPr>
            <w:r w:rsidRPr="00701EB6">
              <w:rPr>
                <w:b/>
              </w:rPr>
              <w:t>Kommentarer</w:t>
            </w:r>
          </w:p>
        </w:tc>
      </w:tr>
      <w:tr w:rsidR="00CE07C5" w:rsidTr="00701EB6">
        <w:tc>
          <w:tcPr>
            <w:tcW w:w="2376" w:type="dxa"/>
          </w:tcPr>
          <w:p w:rsidR="00CE07C5" w:rsidRPr="00373D90" w:rsidRDefault="00105DEC" w:rsidP="00D818E9">
            <w:pPr>
              <w:rPr>
                <w:b/>
              </w:rPr>
            </w:pPr>
            <w:r>
              <w:rPr>
                <w:b/>
              </w:rPr>
              <w:t>Utvalgte f</w:t>
            </w:r>
            <w:r w:rsidR="00D818E9" w:rsidRPr="00373D90">
              <w:rPr>
                <w:b/>
              </w:rPr>
              <w:t>orskjeller fra gamle</w:t>
            </w:r>
            <w:r w:rsidR="00CE07C5" w:rsidRPr="00373D90">
              <w:rPr>
                <w:b/>
              </w:rPr>
              <w:t xml:space="preserve"> SSA-K (stor)</w:t>
            </w:r>
          </w:p>
        </w:tc>
        <w:tc>
          <w:tcPr>
            <w:tcW w:w="1418" w:type="dxa"/>
          </w:tcPr>
          <w:p w:rsidR="00CE07C5" w:rsidRDefault="00CE07C5"/>
        </w:tc>
        <w:tc>
          <w:tcPr>
            <w:tcW w:w="4961" w:type="dxa"/>
          </w:tcPr>
          <w:p w:rsidR="00CE07C5" w:rsidRDefault="00CE07C5" w:rsidP="006B1CF8"/>
        </w:tc>
        <w:tc>
          <w:tcPr>
            <w:tcW w:w="5343" w:type="dxa"/>
          </w:tcPr>
          <w:p w:rsidR="00CE07C5" w:rsidRDefault="00CE07C5"/>
        </w:tc>
      </w:tr>
      <w:tr w:rsidR="00701EB6" w:rsidTr="00701EB6">
        <w:tc>
          <w:tcPr>
            <w:tcW w:w="2376" w:type="dxa"/>
          </w:tcPr>
          <w:p w:rsidR="00701EB6" w:rsidRDefault="00CE07C5">
            <w:r>
              <w:t xml:space="preserve">- </w:t>
            </w:r>
            <w:r w:rsidR="00CE64FA">
              <w:t>Endret bruksområde</w:t>
            </w:r>
            <w:r w:rsidR="00BE3EDC">
              <w:t xml:space="preserve"> og forenklet regulering</w:t>
            </w:r>
          </w:p>
        </w:tc>
        <w:tc>
          <w:tcPr>
            <w:tcW w:w="1418" w:type="dxa"/>
          </w:tcPr>
          <w:p w:rsidR="00701EB6" w:rsidRDefault="00BE3EDC">
            <w:r>
              <w:t>Punkt 1.1</w:t>
            </w:r>
          </w:p>
        </w:tc>
        <w:tc>
          <w:tcPr>
            <w:tcW w:w="4961" w:type="dxa"/>
          </w:tcPr>
          <w:p w:rsidR="00701EB6" w:rsidRDefault="006B1CF8" w:rsidP="006B1CF8">
            <w:r>
              <w:t xml:space="preserve">SSA-K 2015 omhandler </w:t>
            </w:r>
            <w:r w:rsidRPr="006B1CF8">
              <w:rPr>
                <w:i/>
              </w:rPr>
              <w:t>"levering av standard komponenter i form av utstyr, programvare og andre ytelser («leveransen») som er ferdig spesifisert"</w:t>
            </w:r>
            <w:r>
              <w:t>.</w:t>
            </w:r>
          </w:p>
        </w:tc>
        <w:tc>
          <w:tcPr>
            <w:tcW w:w="5343" w:type="dxa"/>
          </w:tcPr>
          <w:p w:rsidR="00701EB6" w:rsidRDefault="00D346DC" w:rsidP="00A65D32">
            <w:r>
              <w:t xml:space="preserve">Anvendelsesområdet for </w:t>
            </w:r>
            <w:r w:rsidR="00BE3EDC">
              <w:t xml:space="preserve">SSA-K 2015 </w:t>
            </w:r>
            <w:r w:rsidR="00CE64FA">
              <w:t xml:space="preserve">er </w:t>
            </w:r>
            <w:r w:rsidR="006B1CF8">
              <w:t>standardiserte komponenter som i utgangpunktet ikke krever tilpasning.</w:t>
            </w:r>
            <w:r>
              <w:t xml:space="preserve"> Arbeidet med SSA-K 2015 har tatt utgangspunkt i </w:t>
            </w:r>
            <w:r w:rsidR="006B1CF8">
              <w:t>SSA-K lille 2013.</w:t>
            </w:r>
            <w:r w:rsidR="00A65D32">
              <w:t xml:space="preserve"> Det innebærer at noe regulering som tidligere fantes i SSA-K store 2013 er fjernet. De viktigste punktene nevnes nedenfor.</w:t>
            </w:r>
          </w:p>
        </w:tc>
      </w:tr>
      <w:tr w:rsidR="00583009" w:rsidTr="00701EB6">
        <w:tc>
          <w:tcPr>
            <w:tcW w:w="2376" w:type="dxa"/>
          </w:tcPr>
          <w:p w:rsidR="00583009" w:rsidRPr="006B1CF8" w:rsidRDefault="00CE07C5" w:rsidP="00DA3946">
            <w:r>
              <w:t xml:space="preserve">- </w:t>
            </w:r>
            <w:r w:rsidR="00DA3946">
              <w:t>Endringer etter avtaleinngåelse</w:t>
            </w:r>
          </w:p>
        </w:tc>
        <w:tc>
          <w:tcPr>
            <w:tcW w:w="1418" w:type="dxa"/>
          </w:tcPr>
          <w:p w:rsidR="00583009" w:rsidRPr="006B1CF8" w:rsidRDefault="00373D90" w:rsidP="006B1CF8">
            <w:r>
              <w:t>Punkt 1.4</w:t>
            </w:r>
          </w:p>
        </w:tc>
        <w:tc>
          <w:tcPr>
            <w:tcW w:w="4961" w:type="dxa"/>
          </w:tcPr>
          <w:p w:rsidR="00583009" w:rsidRPr="006B1CF8" w:rsidRDefault="00A4745F" w:rsidP="00DA3946">
            <w:pPr>
              <w:tabs>
                <w:tab w:val="left" w:pos="1336"/>
              </w:tabs>
            </w:pPr>
            <w:r>
              <w:t xml:space="preserve">Kunden har ikke lenger noen ensidig rett til å pålegge endringer, i motsetning til ordningen i </w:t>
            </w:r>
            <w:r w:rsidR="00CE07C5" w:rsidRPr="00CE07C5">
              <w:t xml:space="preserve">SSA-K </w:t>
            </w:r>
            <w:r w:rsidR="00BE3EDC" w:rsidRPr="00CE07C5">
              <w:t>2013</w:t>
            </w:r>
            <w:r w:rsidR="00BE3EDC">
              <w:t xml:space="preserve"> (store) </w:t>
            </w:r>
            <w:r w:rsidR="00CE07C5" w:rsidRPr="00CE07C5">
              <w:t>kapittel 3.</w:t>
            </w:r>
          </w:p>
        </w:tc>
        <w:tc>
          <w:tcPr>
            <w:tcW w:w="5343" w:type="dxa"/>
          </w:tcPr>
          <w:p w:rsidR="00583009" w:rsidRDefault="00BE3EDC" w:rsidP="009138AC">
            <w:r>
              <w:t>Partene</w:t>
            </w:r>
            <w:r w:rsidR="00FE1D0B">
              <w:t xml:space="preserve"> kan selvsagt avtale opsjoner ved avtaleinngåelse</w:t>
            </w:r>
            <w:r w:rsidR="00E97285">
              <w:t>n</w:t>
            </w:r>
            <w:r w:rsidR="009138AC">
              <w:t>,</w:t>
            </w:r>
            <w:r w:rsidR="00FE1D0B">
              <w:t xml:space="preserve"> og endringer kan avtales i etterkant for</w:t>
            </w:r>
            <w:r w:rsidR="00CE64FA">
              <w:t>ut</w:t>
            </w:r>
            <w:r w:rsidR="00FE1D0B">
              <w:t xml:space="preserve">satt </w:t>
            </w:r>
            <w:r w:rsidR="00CE64FA">
              <w:t xml:space="preserve">at </w:t>
            </w:r>
            <w:r w:rsidR="009138AC">
              <w:t>partene</w:t>
            </w:r>
            <w:r w:rsidR="00CE64FA">
              <w:t xml:space="preserve"> blir </w:t>
            </w:r>
            <w:r w:rsidR="00FE1D0B">
              <w:t xml:space="preserve">enige </w:t>
            </w:r>
            <w:r w:rsidR="00E97285">
              <w:t>om</w:t>
            </w:r>
            <w:r w:rsidR="00FE1D0B">
              <w:t xml:space="preserve"> innhold, fremdrift, pris og vilkår</w:t>
            </w:r>
            <w:r w:rsidR="00E97285">
              <w:t xml:space="preserve"> </w:t>
            </w:r>
            <w:r w:rsidR="009138AC">
              <w:t>for øvrig så langt anskaffelsesregelverket tillater det</w:t>
            </w:r>
            <w:r w:rsidR="00FE1D0B">
              <w:t>. Forventer en at prosjektet vil føre til endringer av betydning under prosjektforløpet bør en bruke en annen avtale (for eksempel SSA-T)</w:t>
            </w:r>
            <w:r w:rsidR="009138AC">
              <w:t xml:space="preserve"> eller beskrive klart hva slags endringer som kan gjøres</w:t>
            </w:r>
            <w:r w:rsidR="00FE1D0B">
              <w:t xml:space="preserve">. </w:t>
            </w:r>
          </w:p>
        </w:tc>
      </w:tr>
      <w:tr w:rsidR="00583009" w:rsidTr="00701EB6">
        <w:tc>
          <w:tcPr>
            <w:tcW w:w="2376" w:type="dxa"/>
          </w:tcPr>
          <w:p w:rsidR="00583009" w:rsidRPr="006B1CF8" w:rsidRDefault="00CE07C5" w:rsidP="00373D90">
            <w:r>
              <w:t xml:space="preserve">- Ikke opsjon </w:t>
            </w:r>
            <w:r w:rsidR="00373D90">
              <w:t>på</w:t>
            </w:r>
            <w:r>
              <w:t xml:space="preserve"> vedlikehold og service</w:t>
            </w:r>
          </w:p>
        </w:tc>
        <w:tc>
          <w:tcPr>
            <w:tcW w:w="1418" w:type="dxa"/>
          </w:tcPr>
          <w:p w:rsidR="00583009" w:rsidRPr="006B1CF8" w:rsidRDefault="00583009" w:rsidP="006B1CF8"/>
        </w:tc>
        <w:tc>
          <w:tcPr>
            <w:tcW w:w="4961" w:type="dxa"/>
          </w:tcPr>
          <w:p w:rsidR="00583009" w:rsidRPr="006B1CF8" w:rsidRDefault="00CE07C5" w:rsidP="00541FC1">
            <w:r w:rsidRPr="00CE07C5">
              <w:t xml:space="preserve">Kunden </w:t>
            </w:r>
            <w:r>
              <w:t>har</w:t>
            </w:r>
            <w:r w:rsidRPr="00CE07C5">
              <w:t xml:space="preserve"> ikke lengre en opsjon på a</w:t>
            </w:r>
            <w:r>
              <w:t xml:space="preserve">vtale om vedlikehold og service </w:t>
            </w:r>
            <w:r w:rsidR="00541FC1">
              <w:t xml:space="preserve">for det tilfellet at </w:t>
            </w:r>
            <w:r>
              <w:t>det er "uteglemt" eller av annen grunn ikke tatt med ved avtaleinngåelse.</w:t>
            </w:r>
          </w:p>
        </w:tc>
        <w:tc>
          <w:tcPr>
            <w:tcW w:w="5343" w:type="dxa"/>
          </w:tcPr>
          <w:p w:rsidR="00583009" w:rsidRDefault="00583009"/>
        </w:tc>
      </w:tr>
      <w:tr w:rsidR="00583009" w:rsidTr="00701EB6">
        <w:tc>
          <w:tcPr>
            <w:tcW w:w="2376" w:type="dxa"/>
          </w:tcPr>
          <w:p w:rsidR="00583009" w:rsidRPr="006B1CF8" w:rsidRDefault="00CE07C5" w:rsidP="00CE64FA">
            <w:r>
              <w:t xml:space="preserve">- </w:t>
            </w:r>
            <w:r w:rsidR="00CE64FA">
              <w:t>Tilpasninger og i</w:t>
            </w:r>
            <w:r>
              <w:t>nstallasjon</w:t>
            </w:r>
          </w:p>
        </w:tc>
        <w:tc>
          <w:tcPr>
            <w:tcW w:w="1418" w:type="dxa"/>
          </w:tcPr>
          <w:p w:rsidR="00583009" w:rsidRPr="006B1CF8" w:rsidRDefault="00CE64FA" w:rsidP="006B1CF8">
            <w:r>
              <w:t>Punkt 2.1.2</w:t>
            </w:r>
          </w:p>
        </w:tc>
        <w:tc>
          <w:tcPr>
            <w:tcW w:w="4961" w:type="dxa"/>
          </w:tcPr>
          <w:p w:rsidR="00583009" w:rsidRPr="006B1CF8" w:rsidRDefault="00CE64FA" w:rsidP="00105DEC">
            <w:r w:rsidRPr="00C1286A">
              <w:t>Leverandøren har ikke ansvar for å utføre kundetilpasninger, installasjon eller andre oppgaver som skal utføres etter at utstyr og programvare er overlevert eller gjort tilgjengelig for Kunden</w:t>
            </w:r>
            <w:r>
              <w:t>,</w:t>
            </w:r>
            <w:r w:rsidRPr="00C1286A">
              <w:t xml:space="preserve"> med mindre dette er beskrevet særskilt i bilag 1 og 2</w:t>
            </w:r>
            <w:r>
              <w:t>.</w:t>
            </w:r>
          </w:p>
        </w:tc>
        <w:tc>
          <w:tcPr>
            <w:tcW w:w="5343" w:type="dxa"/>
          </w:tcPr>
          <w:p w:rsidR="00583009" w:rsidRDefault="001D415C" w:rsidP="00373D90">
            <w:r>
              <w:t xml:space="preserve">Dette må sees i lys av at </w:t>
            </w:r>
            <w:r w:rsidR="00373D90">
              <w:t>avtalen fokuserer på</w:t>
            </w:r>
            <w:r>
              <w:t xml:space="preserve"> standardiserte komponenter som i utgangpunktet ikke </w:t>
            </w:r>
            <w:r w:rsidR="00373D90">
              <w:t xml:space="preserve">skal </w:t>
            </w:r>
            <w:r>
              <w:t>kreve tilpasning</w:t>
            </w:r>
            <w:r w:rsidR="00373D90">
              <w:t>er</w:t>
            </w:r>
            <w:r w:rsidR="00CE64FA">
              <w:t xml:space="preserve"> og det er lagt opp t</w:t>
            </w:r>
            <w:r w:rsidR="00541FC1">
              <w:t>il at kunden installerer selv</w:t>
            </w:r>
            <w:r>
              <w:t>.</w:t>
            </w:r>
          </w:p>
        </w:tc>
      </w:tr>
      <w:tr w:rsidR="00373D90" w:rsidTr="00701EB6">
        <w:tc>
          <w:tcPr>
            <w:tcW w:w="2376" w:type="dxa"/>
          </w:tcPr>
          <w:p w:rsidR="00373D90" w:rsidRPr="006B1CF8" w:rsidRDefault="00373D90" w:rsidP="00373D90">
            <w:r>
              <w:t>- Ikke eksplisitte krav til leverandørens resurser og kompetanse</w:t>
            </w:r>
          </w:p>
        </w:tc>
        <w:tc>
          <w:tcPr>
            <w:tcW w:w="1418" w:type="dxa"/>
          </w:tcPr>
          <w:p w:rsidR="00373D90" w:rsidRPr="006B1CF8" w:rsidRDefault="00373D90" w:rsidP="006B1CF8"/>
        </w:tc>
        <w:tc>
          <w:tcPr>
            <w:tcW w:w="4961" w:type="dxa"/>
          </w:tcPr>
          <w:p w:rsidR="00373D90" w:rsidRPr="006B1CF8" w:rsidRDefault="00373D90" w:rsidP="00373D90">
            <w:r w:rsidRPr="00D818E9">
              <w:t xml:space="preserve">Bestemmelsen </w:t>
            </w:r>
            <w:r>
              <w:t xml:space="preserve">i SSA-K 2013 (store) </w:t>
            </w:r>
            <w:r w:rsidRPr="00D818E9">
              <w:t>om krav til leverandørens resurser og kompetanse har gått ut.</w:t>
            </w:r>
          </w:p>
        </w:tc>
        <w:tc>
          <w:tcPr>
            <w:tcW w:w="5343" w:type="dxa"/>
          </w:tcPr>
          <w:p w:rsidR="00373D90" w:rsidRDefault="00373D90" w:rsidP="00F32D8D">
            <w:r>
              <w:t>Dette må sees i lys av at avtalen fokuserer på standardiserte komponenter som i utgangpunktet ikke skal kreve tilpasninger.</w:t>
            </w:r>
          </w:p>
        </w:tc>
      </w:tr>
      <w:tr w:rsidR="00583009" w:rsidTr="00701EB6">
        <w:tc>
          <w:tcPr>
            <w:tcW w:w="2376" w:type="dxa"/>
          </w:tcPr>
          <w:p w:rsidR="00583009" w:rsidRPr="006B1CF8" w:rsidRDefault="00373D90" w:rsidP="00373D90">
            <w:r>
              <w:t>- Ikke ak</w:t>
            </w:r>
            <w:r w:rsidR="00D818E9">
              <w:t>s</w:t>
            </w:r>
            <w:r>
              <w:t>e</w:t>
            </w:r>
            <w:r w:rsidR="00D818E9">
              <w:t>ptansetest</w:t>
            </w:r>
            <w:r>
              <w:t xml:space="preserve"> i utgangpunktet</w:t>
            </w:r>
          </w:p>
        </w:tc>
        <w:tc>
          <w:tcPr>
            <w:tcW w:w="1418" w:type="dxa"/>
          </w:tcPr>
          <w:p w:rsidR="00583009" w:rsidRPr="006B1CF8" w:rsidRDefault="00D73FC9" w:rsidP="006B1CF8">
            <w:r>
              <w:t>Punkt 2.2.2</w:t>
            </w:r>
          </w:p>
        </w:tc>
        <w:tc>
          <w:tcPr>
            <w:tcW w:w="4961" w:type="dxa"/>
          </w:tcPr>
          <w:p w:rsidR="00583009" w:rsidRPr="006B1CF8" w:rsidRDefault="00D818E9" w:rsidP="00D73FC9">
            <w:r w:rsidRPr="00D818E9">
              <w:t xml:space="preserve">SSA-K </w:t>
            </w:r>
            <w:r w:rsidR="00373D90">
              <w:t xml:space="preserve">2015 </w:t>
            </w:r>
            <w:r w:rsidRPr="00D818E9">
              <w:t xml:space="preserve">legger ikke </w:t>
            </w:r>
            <w:r w:rsidR="00D73FC9">
              <w:t xml:space="preserve">opp til akseptansetest i normaltilfellene, men det kan avtales en utvidet </w:t>
            </w:r>
            <w:r w:rsidR="00D73FC9">
              <w:lastRenderedPageBreak/>
              <w:t>godkjenningsprøve, se punkt 2.2.2.</w:t>
            </w:r>
          </w:p>
        </w:tc>
        <w:tc>
          <w:tcPr>
            <w:tcW w:w="5343" w:type="dxa"/>
          </w:tcPr>
          <w:p w:rsidR="00583009" w:rsidRPr="00373D90" w:rsidRDefault="00583009"/>
        </w:tc>
      </w:tr>
      <w:tr w:rsidR="00583009" w:rsidTr="00701EB6">
        <w:tc>
          <w:tcPr>
            <w:tcW w:w="2376" w:type="dxa"/>
          </w:tcPr>
          <w:p w:rsidR="00583009" w:rsidRPr="006B1CF8" w:rsidRDefault="00D818E9">
            <w:r>
              <w:lastRenderedPageBreak/>
              <w:t>- Avbestilling</w:t>
            </w:r>
          </w:p>
        </w:tc>
        <w:tc>
          <w:tcPr>
            <w:tcW w:w="1418" w:type="dxa"/>
          </w:tcPr>
          <w:p w:rsidR="00583009" w:rsidRPr="006B1CF8" w:rsidRDefault="00583009" w:rsidP="006B1CF8"/>
        </w:tc>
        <w:tc>
          <w:tcPr>
            <w:tcW w:w="4961" w:type="dxa"/>
          </w:tcPr>
          <w:p w:rsidR="00583009" w:rsidRPr="006B1CF8" w:rsidRDefault="00D818E9" w:rsidP="00105DEC">
            <w:r w:rsidRPr="00D818E9">
              <w:t xml:space="preserve">Reglene om avbestilling </w:t>
            </w:r>
            <w:r>
              <w:t xml:space="preserve">som </w:t>
            </w:r>
            <w:r w:rsidR="001D415C">
              <w:t>fantes</w:t>
            </w:r>
            <w:r>
              <w:t xml:space="preserve"> i SSA-K </w:t>
            </w:r>
            <w:r w:rsidR="00373D90">
              <w:t xml:space="preserve">2013 </w:t>
            </w:r>
            <w:r>
              <w:t xml:space="preserve">(store) </w:t>
            </w:r>
            <w:r w:rsidRPr="00D818E9">
              <w:t>går ut.</w:t>
            </w:r>
          </w:p>
        </w:tc>
        <w:tc>
          <w:tcPr>
            <w:tcW w:w="5343" w:type="dxa"/>
          </w:tcPr>
          <w:p w:rsidR="00583009" w:rsidRDefault="001D415C" w:rsidP="00023C0C">
            <w:r>
              <w:t>Hvis en anser at det er risiko av betydning for at leveransen må avbestille</w:t>
            </w:r>
            <w:r w:rsidR="00023C0C">
              <w:t>s,</w:t>
            </w:r>
            <w:r>
              <w:t xml:space="preserve"> </w:t>
            </w:r>
            <w:r w:rsidR="00023C0C">
              <w:t xml:space="preserve">f.eks. fordi det er lang tid mellom bestilling og levering, eller leverings skal skje i flere faser over lengre tid, </w:t>
            </w:r>
            <w:r>
              <w:t xml:space="preserve">kan </w:t>
            </w:r>
            <w:r w:rsidR="00577312">
              <w:t>avbestillingsrett</w:t>
            </w:r>
            <w:r>
              <w:t xml:space="preserve"> tas inn som endring til avtalen før </w:t>
            </w:r>
            <w:r w:rsidR="00C27B29">
              <w:t>avtale</w:t>
            </w:r>
            <w:r>
              <w:t>inngåelse.</w:t>
            </w:r>
          </w:p>
        </w:tc>
      </w:tr>
      <w:tr w:rsidR="00583009" w:rsidTr="00701EB6">
        <w:tc>
          <w:tcPr>
            <w:tcW w:w="2376" w:type="dxa"/>
          </w:tcPr>
          <w:p w:rsidR="00583009" w:rsidRPr="006B1CF8" w:rsidRDefault="00D818E9">
            <w:r>
              <w:t>- Megling og uavhengig ekspert</w:t>
            </w:r>
          </w:p>
        </w:tc>
        <w:tc>
          <w:tcPr>
            <w:tcW w:w="1418" w:type="dxa"/>
          </w:tcPr>
          <w:p w:rsidR="00583009" w:rsidRPr="006B1CF8" w:rsidRDefault="00583009" w:rsidP="006B1CF8"/>
        </w:tc>
        <w:tc>
          <w:tcPr>
            <w:tcW w:w="4961" w:type="dxa"/>
          </w:tcPr>
          <w:p w:rsidR="00583009" w:rsidRPr="006B1CF8" w:rsidRDefault="00D818E9" w:rsidP="00D818E9">
            <w:r w:rsidRPr="00D73FC9">
              <w:t xml:space="preserve">Det er mindre omfattende regler i nye SSA-K </w:t>
            </w:r>
            <w:r w:rsidR="00577312" w:rsidRPr="00D73FC9">
              <w:t xml:space="preserve">2015 </w:t>
            </w:r>
            <w:r w:rsidRPr="00D73FC9">
              <w:t>om tvisteløsning. Regler</w:t>
            </w:r>
            <w:r w:rsidR="00577312" w:rsidRPr="00D73FC9">
              <w:t xml:space="preserve"> for</w:t>
            </w:r>
            <w:r w:rsidRPr="00D73FC9">
              <w:t xml:space="preserve"> megling og uavhengig ekspert er ikke med i 2015 utgaven.</w:t>
            </w:r>
          </w:p>
        </w:tc>
        <w:tc>
          <w:tcPr>
            <w:tcW w:w="5343" w:type="dxa"/>
          </w:tcPr>
          <w:p w:rsidR="00583009" w:rsidRDefault="00D818E9" w:rsidP="00D818E9">
            <w:r>
              <w:t>Megling og bruk av uavhengig ekspert kan selvsagt</w:t>
            </w:r>
            <w:r w:rsidR="001D415C">
              <w:t xml:space="preserve"> avtales</w:t>
            </w:r>
            <w:r>
              <w:t xml:space="preserve"> både ved avtaleinngåelse og etter at en uenighet har oppstått forutsatt at partene er enige om tvisteløsningsmekanismen.</w:t>
            </w:r>
          </w:p>
        </w:tc>
      </w:tr>
      <w:tr w:rsidR="00373D90" w:rsidTr="00373D90">
        <w:tc>
          <w:tcPr>
            <w:tcW w:w="2376" w:type="dxa"/>
            <w:shd w:val="clear" w:color="auto" w:fill="auto"/>
          </w:tcPr>
          <w:p w:rsidR="00373D90" w:rsidRPr="00373D90" w:rsidRDefault="00373D90">
            <w:pPr>
              <w:rPr>
                <w:b/>
              </w:rPr>
            </w:pPr>
            <w:r w:rsidRPr="00373D90">
              <w:rPr>
                <w:b/>
              </w:rPr>
              <w:t>Løpende kommentarer til avtalen</w:t>
            </w:r>
            <w:r w:rsidR="00577312">
              <w:rPr>
                <w:b/>
              </w:rPr>
              <w:t xml:space="preserve"> </w:t>
            </w:r>
            <w:r w:rsidR="00577312" w:rsidRPr="00577312">
              <w:t>(sammenlignet med SSA-K 2013 (lille))</w:t>
            </w:r>
          </w:p>
        </w:tc>
        <w:tc>
          <w:tcPr>
            <w:tcW w:w="1418" w:type="dxa"/>
            <w:shd w:val="clear" w:color="auto" w:fill="auto"/>
          </w:tcPr>
          <w:p w:rsidR="00373D90" w:rsidRPr="006B1CF8" w:rsidRDefault="00373D90" w:rsidP="006B1CF8"/>
        </w:tc>
        <w:tc>
          <w:tcPr>
            <w:tcW w:w="4961" w:type="dxa"/>
            <w:shd w:val="clear" w:color="auto" w:fill="auto"/>
          </w:tcPr>
          <w:p w:rsidR="00373D90" w:rsidRDefault="00373D90" w:rsidP="00DF140C"/>
        </w:tc>
        <w:tc>
          <w:tcPr>
            <w:tcW w:w="5343" w:type="dxa"/>
            <w:shd w:val="clear" w:color="auto" w:fill="auto"/>
          </w:tcPr>
          <w:p w:rsidR="00373D90" w:rsidRDefault="00373D90" w:rsidP="00DF140C"/>
          <w:p w:rsidR="00B85EF8" w:rsidRDefault="00B85EF8" w:rsidP="00B85EF8">
            <w:r>
              <w:t>Nedenfor kommenteres bestemmelser som er endret sammenliknet med innholdet i SSA-K lille 2013.</w:t>
            </w:r>
          </w:p>
        </w:tc>
      </w:tr>
      <w:tr w:rsidR="00D73FC9" w:rsidTr="00373D90">
        <w:tc>
          <w:tcPr>
            <w:tcW w:w="2376" w:type="dxa"/>
            <w:shd w:val="clear" w:color="auto" w:fill="auto"/>
          </w:tcPr>
          <w:p w:rsidR="00D73FC9" w:rsidRDefault="00D73FC9" w:rsidP="000A3B07">
            <w:r w:rsidRPr="006B1CF8">
              <w:t>Utstyr og programvare</w:t>
            </w:r>
          </w:p>
        </w:tc>
        <w:tc>
          <w:tcPr>
            <w:tcW w:w="1418" w:type="dxa"/>
            <w:shd w:val="clear" w:color="auto" w:fill="auto"/>
          </w:tcPr>
          <w:p w:rsidR="00D73FC9" w:rsidRPr="006B1CF8" w:rsidRDefault="00D73FC9" w:rsidP="006B1CF8">
            <w:r>
              <w:t>Punkt 2.1.1 første avsnitt</w:t>
            </w:r>
          </w:p>
        </w:tc>
        <w:tc>
          <w:tcPr>
            <w:tcW w:w="4961" w:type="dxa"/>
            <w:shd w:val="clear" w:color="auto" w:fill="auto"/>
          </w:tcPr>
          <w:p w:rsidR="00D73FC9" w:rsidRDefault="00D73FC9" w:rsidP="00D73FC9">
            <w:r>
              <w:t>U</w:t>
            </w:r>
            <w:r w:rsidRPr="00C1286A">
              <w:t xml:space="preserve">tstyr og programvare </w:t>
            </w:r>
            <w:r>
              <w:t xml:space="preserve">skal </w:t>
            </w:r>
            <w:r w:rsidRPr="00C1286A">
              <w:t>oppfylle de krav og beskrivelser som er spesifisert i bilag 1 og 2</w:t>
            </w:r>
            <w:r>
              <w:rPr>
                <w:lang w:val="x-none"/>
              </w:rPr>
              <w:t xml:space="preserve">. </w:t>
            </w:r>
            <w:r>
              <w:t xml:space="preserve">Med mindre annet fremgår av bilag 1 og 2, </w:t>
            </w:r>
            <w:r w:rsidRPr="00C1286A">
              <w:t xml:space="preserve">skal </w:t>
            </w:r>
            <w:r>
              <w:t xml:space="preserve">programvare og utstyr </w:t>
            </w:r>
            <w:r w:rsidRPr="00C1286A">
              <w:t>ha slike funksjoner, egenskaper og kvalitet som følger av standard produktbeskrivelse/-spesifikasjon, brukerveiledning mv. som Leverandøren lar følge med ved salg av disse produktene.</w:t>
            </w:r>
          </w:p>
        </w:tc>
        <w:tc>
          <w:tcPr>
            <w:tcW w:w="5343" w:type="dxa"/>
            <w:shd w:val="clear" w:color="auto" w:fill="auto"/>
          </w:tcPr>
          <w:p w:rsidR="00D73FC9" w:rsidRPr="00C9655C" w:rsidDel="00105DEC" w:rsidRDefault="006637E6" w:rsidP="006637E6">
            <w:pPr>
              <w:rPr>
                <w:highlight w:val="cyan"/>
              </w:rPr>
            </w:pPr>
            <w:r>
              <w:t>Krav til leveransen skal som vanlig fremgå av bilag 1 og 2. Kunden kan imidlertid påberope beskrivelser som leverandøren lar følge med produktene. Dette kan være praktisk i og med at kundens krav gjerne er beskrevet på mer overordnet nivå.</w:t>
            </w:r>
          </w:p>
        </w:tc>
      </w:tr>
      <w:tr w:rsidR="00D73FC9" w:rsidTr="00373D90">
        <w:tc>
          <w:tcPr>
            <w:tcW w:w="2376" w:type="dxa"/>
            <w:shd w:val="clear" w:color="auto" w:fill="auto"/>
          </w:tcPr>
          <w:p w:rsidR="00D73FC9" w:rsidRDefault="00D73FC9">
            <w:r w:rsidRPr="006B1CF8">
              <w:t>Utstyr og programvare</w:t>
            </w:r>
          </w:p>
        </w:tc>
        <w:tc>
          <w:tcPr>
            <w:tcW w:w="1418" w:type="dxa"/>
            <w:shd w:val="clear" w:color="auto" w:fill="auto"/>
          </w:tcPr>
          <w:p w:rsidR="00D73FC9" w:rsidRDefault="00D73FC9" w:rsidP="006B1CF8">
            <w:r w:rsidRPr="006B1CF8">
              <w:t>Punkt 2.1.1</w:t>
            </w:r>
            <w:r>
              <w:t xml:space="preserve"> annet avsnitt</w:t>
            </w:r>
          </w:p>
        </w:tc>
        <w:tc>
          <w:tcPr>
            <w:tcW w:w="4961" w:type="dxa"/>
            <w:shd w:val="clear" w:color="auto" w:fill="auto"/>
          </w:tcPr>
          <w:p w:rsidR="00D73FC9" w:rsidRDefault="006637E6" w:rsidP="006637E6">
            <w:r w:rsidRPr="00C1286A">
              <w:t>Leverandøren har ansvaret for at utstyr og programvare virker som avtalt hver for seg (se også punkt 2.1.3 fjerde og femte avsnitt)</w:t>
            </w:r>
            <w:r>
              <w:t>,</w:t>
            </w:r>
            <w:r w:rsidRPr="00C1286A">
              <w:t xml:space="preserve"> og fungerer sammen på de måter som er beskrevet i avtalen.</w:t>
            </w:r>
          </w:p>
        </w:tc>
        <w:tc>
          <w:tcPr>
            <w:tcW w:w="5343" w:type="dxa"/>
            <w:shd w:val="clear" w:color="auto" w:fill="auto"/>
          </w:tcPr>
          <w:p w:rsidR="00D73FC9" w:rsidRPr="00C9655C" w:rsidRDefault="00D73FC9" w:rsidP="002F74B3">
            <w:pPr>
              <w:rPr>
                <w:highlight w:val="cyan"/>
              </w:rPr>
            </w:pPr>
          </w:p>
        </w:tc>
      </w:tr>
      <w:tr w:rsidR="00D73FC9" w:rsidTr="00701EB6">
        <w:tc>
          <w:tcPr>
            <w:tcW w:w="2376" w:type="dxa"/>
          </w:tcPr>
          <w:p w:rsidR="00D73FC9" w:rsidRDefault="00D73FC9">
            <w:r w:rsidRPr="006B1CF8">
              <w:t>Tilpasninger og installasjon</w:t>
            </w:r>
          </w:p>
        </w:tc>
        <w:tc>
          <w:tcPr>
            <w:tcW w:w="1418" w:type="dxa"/>
          </w:tcPr>
          <w:p w:rsidR="00D73FC9" w:rsidRDefault="00D73FC9" w:rsidP="006B1CF8">
            <w:r w:rsidRPr="006B1CF8">
              <w:t>Punkt 2.1.2</w:t>
            </w:r>
          </w:p>
        </w:tc>
        <w:tc>
          <w:tcPr>
            <w:tcW w:w="4961" w:type="dxa"/>
          </w:tcPr>
          <w:p w:rsidR="00D73FC9" w:rsidRDefault="00D73FC9" w:rsidP="00DF140C">
            <w:r>
              <w:t>Dette nye punktet k</w:t>
            </w:r>
            <w:r w:rsidRPr="006B1CF8">
              <w:t>largjør at kundetilpasninger og andre oppgaver etter overlevering i utgangpunktet er utenfor leverandørens oppgaver</w:t>
            </w:r>
            <w:r w:rsidR="00090934">
              <w:t>, se om samme punkt ovenfor</w:t>
            </w:r>
            <w:r w:rsidRPr="006B1CF8">
              <w:t>.</w:t>
            </w:r>
            <w:r w:rsidR="00681EC8">
              <w:t xml:space="preserve"> Det kan avtales som tilleggstjenester.</w:t>
            </w:r>
          </w:p>
        </w:tc>
        <w:tc>
          <w:tcPr>
            <w:tcW w:w="5343" w:type="dxa"/>
          </w:tcPr>
          <w:p w:rsidR="00D73FC9" w:rsidRDefault="00D73FC9" w:rsidP="00FA559E">
            <w:r>
              <w:t xml:space="preserve">Dette må sees i lys av avtalens </w:t>
            </w:r>
            <w:r w:rsidR="00FA559E">
              <w:t>mer "spissede"</w:t>
            </w:r>
            <w:r>
              <w:t xml:space="preserve"> bruksområde.</w:t>
            </w:r>
          </w:p>
        </w:tc>
      </w:tr>
      <w:tr w:rsidR="00D73FC9" w:rsidTr="00701EB6">
        <w:tc>
          <w:tcPr>
            <w:tcW w:w="2376" w:type="dxa"/>
          </w:tcPr>
          <w:p w:rsidR="00D73FC9" w:rsidRDefault="00D73FC9" w:rsidP="006B1CF8">
            <w:r w:rsidRPr="006B1CF8">
              <w:t>Forholdet til standard lisens- og avtalevilkår</w:t>
            </w:r>
          </w:p>
        </w:tc>
        <w:tc>
          <w:tcPr>
            <w:tcW w:w="1418" w:type="dxa"/>
          </w:tcPr>
          <w:p w:rsidR="00D73FC9" w:rsidRDefault="00D73FC9" w:rsidP="006B1CF8">
            <w:r w:rsidRPr="006B1CF8">
              <w:t>Bilag 10 og punkt 2.1.3</w:t>
            </w:r>
          </w:p>
        </w:tc>
        <w:tc>
          <w:tcPr>
            <w:tcW w:w="4961" w:type="dxa"/>
          </w:tcPr>
          <w:p w:rsidR="00D73FC9" w:rsidRDefault="00D73FC9" w:rsidP="006B1CF8">
            <w:r w:rsidRPr="00AE1045">
              <w:t>Det er innarbeidet bestemmelser for å håndtere bruk av tredjeparts programvare som må leveres under standard lisensvilkår.</w:t>
            </w:r>
          </w:p>
        </w:tc>
        <w:tc>
          <w:tcPr>
            <w:tcW w:w="5343" w:type="dxa"/>
          </w:tcPr>
          <w:p w:rsidR="00D73FC9" w:rsidRDefault="00D73FC9" w:rsidP="00AE1045">
            <w:r w:rsidRPr="00AE1045">
              <w:t xml:space="preserve">Tredjeparts programvare vil som hovedregel måtte leveres under tredjeparts standard lisensvilkår. Den nye reguleringen innebærer bl.a. at det ikke automatisk vil bli </w:t>
            </w:r>
            <w:r w:rsidRPr="00AE1045">
              <w:lastRenderedPageBreak/>
              <w:t>ansett som et forbehold til kontrakten hvis leverandøren legger frem tredjeparts standard lisensvilkår som del av tilbudet. Det er imidlertid stilt visse krav til disposisjonsrettens (lisensens) omfang. Den må være dekkende for formålet med anskaffelsen og den bruk kunden har beskrevet. Videre har leverandøren ansvaret for at løsningen har den avtalte funksjonalitet. Leverandøren har også ansvar for å rette feil i løsningen, også om feilen skyldes feil i standard programvare. Det er imidlertid innarbeidet en avgrensning av leverandørens feilrettingsansvar for feil som skyldes at programvaren ikke opptrer iht. programvareleverandørens spesifikasjoner, og som ikke kan rettes uten å ha tilgang til kildekoden til standardprogramvaren. I slike tilfeller er leverandørens forpliktelser begrenset til å melde feilen, følge opp feilrettingen hos programvareleverandøren, og gjøre rettet versjon tilgjengelig for kunden når den er klar. Feil som faller i denne kategorien gir ikke grunnlag for å nekte å godkjenne løsningen. Hvis det ikke har lykkes leverandøren å få til dette innen utgangen av garantiperioden, kan kunden kreve prisavslag og evt. erstatning hvis vilkårene for dette er oppfylt. Leverandøren skal søke å finne en midlertidig løsning mens feilen rettes.</w:t>
            </w:r>
          </w:p>
        </w:tc>
      </w:tr>
      <w:tr w:rsidR="00D73FC9" w:rsidTr="00701EB6">
        <w:tc>
          <w:tcPr>
            <w:tcW w:w="2376" w:type="dxa"/>
          </w:tcPr>
          <w:p w:rsidR="00D73FC9" w:rsidRDefault="00D73FC9" w:rsidP="006B1CF8">
            <w:r w:rsidRPr="006B1CF8">
              <w:lastRenderedPageBreak/>
              <w:t>Dokumentasjon og opplæring</w:t>
            </w:r>
          </w:p>
        </w:tc>
        <w:tc>
          <w:tcPr>
            <w:tcW w:w="1418" w:type="dxa"/>
          </w:tcPr>
          <w:p w:rsidR="00D73FC9" w:rsidRDefault="00D73FC9" w:rsidP="006B1CF8">
            <w:r>
              <w:t>Punkt 2.1.4</w:t>
            </w:r>
          </w:p>
        </w:tc>
        <w:tc>
          <w:tcPr>
            <w:tcW w:w="4961" w:type="dxa"/>
          </w:tcPr>
          <w:p w:rsidR="00D73FC9" w:rsidRDefault="000C2CF1" w:rsidP="000C2CF1">
            <w:r>
              <w:t xml:space="preserve">Hvis ikke annet er avtalt, skal </w:t>
            </w:r>
            <w:r w:rsidR="00D73FC9">
              <w:t xml:space="preserve">kunden skal motta </w:t>
            </w:r>
            <w:r>
              <w:t xml:space="preserve">slik </w:t>
            </w:r>
            <w:r w:rsidRPr="00C1286A">
              <w:t>standard produktbeskrivelse, brukerveiledning og annen dokumentasjon som Leverandøren vanligvis lar følge med ved salg av angjeldende produkter</w:t>
            </w:r>
            <w:r>
              <w:t>.</w:t>
            </w:r>
          </w:p>
        </w:tc>
        <w:tc>
          <w:tcPr>
            <w:tcW w:w="5343" w:type="dxa"/>
          </w:tcPr>
          <w:p w:rsidR="00D73FC9" w:rsidRDefault="00D73FC9" w:rsidP="00FA559E">
            <w:r>
              <w:t xml:space="preserve">Dette må sees i lys av avtalens </w:t>
            </w:r>
            <w:r w:rsidR="00FA559E">
              <w:t>mer "spissede"</w:t>
            </w:r>
            <w:r>
              <w:t xml:space="preserve"> bruksområde.</w:t>
            </w:r>
          </w:p>
        </w:tc>
      </w:tr>
      <w:tr w:rsidR="00D73FC9" w:rsidTr="00701EB6">
        <w:tc>
          <w:tcPr>
            <w:tcW w:w="2376" w:type="dxa"/>
          </w:tcPr>
          <w:p w:rsidR="00D73FC9" w:rsidRDefault="00D73FC9" w:rsidP="006B1CF8">
            <w:r w:rsidRPr="006B1CF8">
              <w:t xml:space="preserve">Tid og sted for </w:t>
            </w:r>
            <w:r>
              <w:t>l</w:t>
            </w:r>
            <w:r w:rsidRPr="006B1CF8">
              <w:t>everandørens ytelse</w:t>
            </w:r>
          </w:p>
          <w:p w:rsidR="00D73FC9" w:rsidRDefault="00D73FC9" w:rsidP="006B1CF8">
            <w:r>
              <w:t>- leveringsdag</w:t>
            </w:r>
          </w:p>
        </w:tc>
        <w:tc>
          <w:tcPr>
            <w:tcW w:w="1418" w:type="dxa"/>
          </w:tcPr>
          <w:p w:rsidR="00D73FC9" w:rsidRDefault="00D73FC9" w:rsidP="006B1CF8">
            <w:r>
              <w:t>Punkt 2.1.5</w:t>
            </w:r>
          </w:p>
        </w:tc>
        <w:tc>
          <w:tcPr>
            <w:tcW w:w="4961" w:type="dxa"/>
          </w:tcPr>
          <w:p w:rsidR="00AA1A1C" w:rsidRDefault="00AA1A1C" w:rsidP="006B1CF8">
            <w:r w:rsidRPr="00C1286A">
              <w:t xml:space="preserve">Med mindre annet fremgår av bilag 4, må eventuelle innvendinger </w:t>
            </w:r>
            <w:r>
              <w:t xml:space="preserve">mot leveransen </w:t>
            </w:r>
            <w:r w:rsidRPr="00C1286A">
              <w:t>fra Kundens side være fremmet skriftlig innen 5 (fem) virkedager etter at alt utstyr og programvare som omfattes av avtalen</w:t>
            </w:r>
            <w:r>
              <w:t>,</w:t>
            </w:r>
            <w:r w:rsidRPr="00C1286A">
              <w:t xml:space="preserve"> </w:t>
            </w:r>
            <w:r w:rsidRPr="00C1286A">
              <w:lastRenderedPageBreak/>
              <w:t>er fysisk levert på avtalt adresse</w:t>
            </w:r>
            <w:r w:rsidR="007A26A6">
              <w:t xml:space="preserve"> (eller for programvare; gjort tilgjengelig for nedlasting)</w:t>
            </w:r>
            <w:r w:rsidRPr="00C1286A">
              <w:t>.</w:t>
            </w:r>
            <w:r>
              <w:t xml:space="preserve"> </w:t>
            </w:r>
            <w:r w:rsidRPr="00C1286A">
              <w:t xml:space="preserve">Hvis Kunden ikke har fremmet innvendinger innen fristen, anses </w:t>
            </w:r>
            <w:r>
              <w:t>l</w:t>
            </w:r>
            <w:r w:rsidRPr="00C1286A">
              <w:t xml:space="preserve">everingsdag for inntruffet den dag </w:t>
            </w:r>
            <w:r w:rsidRPr="00DA125A">
              <w:t>siste del</w:t>
            </w:r>
            <w:r w:rsidRPr="00C1286A">
              <w:t xml:space="preserve"> av utstyr og programvare ble fysisk levert.</w:t>
            </w:r>
          </w:p>
          <w:p w:rsidR="00D73FC9" w:rsidRDefault="00AA1A1C" w:rsidP="007A26A6">
            <w:r>
              <w:t>H</w:t>
            </w:r>
            <w:r w:rsidR="00D73FC9">
              <w:t>vis godkjenningsprøve er avtalt inntrer levering når den er gjennomført og godkjent</w:t>
            </w:r>
            <w:r>
              <w:t xml:space="preserve"> av kunden</w:t>
            </w:r>
            <w:r w:rsidR="006C1698">
              <w:t>, se punkt 2.2.2</w:t>
            </w:r>
            <w:r w:rsidR="00D73FC9">
              <w:t>.</w:t>
            </w:r>
          </w:p>
        </w:tc>
        <w:tc>
          <w:tcPr>
            <w:tcW w:w="5343" w:type="dxa"/>
          </w:tcPr>
          <w:p w:rsidR="00D73FC9" w:rsidRPr="00BD36FD" w:rsidRDefault="00D16F0B" w:rsidP="006B1CF8">
            <w:r>
              <w:lastRenderedPageBreak/>
              <w:t>E</w:t>
            </w:r>
            <w:r w:rsidR="007A26A6">
              <w:t xml:space="preserve">lektronisk nedlasting av programvare (heller enn fysisk lagringsmedium) er nå </w:t>
            </w:r>
            <w:r>
              <w:t xml:space="preserve">uttrykkelig </w:t>
            </w:r>
            <w:r w:rsidR="007A26A6">
              <w:t>støttet som leveringsmetode i avtalen.</w:t>
            </w:r>
          </w:p>
        </w:tc>
      </w:tr>
      <w:tr w:rsidR="00D73FC9" w:rsidTr="00701EB6">
        <w:tc>
          <w:tcPr>
            <w:tcW w:w="2376" w:type="dxa"/>
          </w:tcPr>
          <w:p w:rsidR="00D73FC9" w:rsidRDefault="00D73FC9" w:rsidP="006B1CF8">
            <w:r w:rsidRPr="006B1CF8">
              <w:lastRenderedPageBreak/>
              <w:t>Garantiperiode og garantiytelser</w:t>
            </w:r>
          </w:p>
        </w:tc>
        <w:tc>
          <w:tcPr>
            <w:tcW w:w="1418" w:type="dxa"/>
          </w:tcPr>
          <w:p w:rsidR="00D73FC9" w:rsidRDefault="00D73FC9" w:rsidP="006B1CF8">
            <w:r>
              <w:t>Punkt 2.1.6</w:t>
            </w:r>
          </w:p>
        </w:tc>
        <w:tc>
          <w:tcPr>
            <w:tcW w:w="4961" w:type="dxa"/>
          </w:tcPr>
          <w:p w:rsidR="00D73FC9" w:rsidRDefault="00161202" w:rsidP="006B1CF8">
            <w:r>
              <w:t xml:space="preserve">Det er gjort enkelte endringer i bestemmelsen om </w:t>
            </w:r>
            <w:r w:rsidR="00D73FC9">
              <w:t xml:space="preserve">garanti </w:t>
            </w:r>
            <w:r>
              <w:t xml:space="preserve">som bl.a. </w:t>
            </w:r>
            <w:r w:rsidR="00D73FC9">
              <w:t>innebærer</w:t>
            </w:r>
            <w:r>
              <w:t>:</w:t>
            </w:r>
          </w:p>
          <w:p w:rsidR="00D73FC9" w:rsidRDefault="00161202" w:rsidP="006B1CF8">
            <w:pPr>
              <w:pStyle w:val="Listeavsnitt"/>
              <w:numPr>
                <w:ilvl w:val="0"/>
                <w:numId w:val="2"/>
              </w:numPr>
            </w:pPr>
            <w:r>
              <w:t xml:space="preserve">at det </w:t>
            </w:r>
            <w:r w:rsidRPr="00C1286A">
              <w:t xml:space="preserve">ikke </w:t>
            </w:r>
            <w:r>
              <w:t xml:space="preserve">kan </w:t>
            </w:r>
            <w:r w:rsidRPr="00C1286A">
              <w:t>kreves erstatning eller andre misligholdsbeføyelser knyttet til mangler som blir utbedret i henhold til garantiansvaret</w:t>
            </w:r>
          </w:p>
          <w:p w:rsidR="00D73FC9" w:rsidRDefault="00D73FC9" w:rsidP="00C9655C">
            <w:pPr>
              <w:pStyle w:val="Listeavsnitt"/>
              <w:numPr>
                <w:ilvl w:val="0"/>
                <w:numId w:val="2"/>
              </w:numPr>
            </w:pPr>
            <w:r>
              <w:t>avgrensning av leverandørens garantiforpliktelse hvis kundens vedlikehold av utstyr avviker fra minimumskrav i bilag 2 (l</w:t>
            </w:r>
            <w:r w:rsidRPr="00C9655C">
              <w:t>everandørens beskrivelse av leveransen</w:t>
            </w:r>
            <w:r>
              <w:t>)</w:t>
            </w:r>
          </w:p>
        </w:tc>
        <w:tc>
          <w:tcPr>
            <w:tcW w:w="5343" w:type="dxa"/>
          </w:tcPr>
          <w:p w:rsidR="00D73FC9" w:rsidRDefault="00D73FC9" w:rsidP="00C9655C"/>
        </w:tc>
      </w:tr>
      <w:tr w:rsidR="00D73FC9" w:rsidTr="00701EB6">
        <w:tc>
          <w:tcPr>
            <w:tcW w:w="2376" w:type="dxa"/>
          </w:tcPr>
          <w:p w:rsidR="00D73FC9" w:rsidRDefault="00D73FC9" w:rsidP="006B1CF8">
            <w:r w:rsidRPr="006B1CF8">
              <w:t>Medvirkning</w:t>
            </w:r>
          </w:p>
        </w:tc>
        <w:tc>
          <w:tcPr>
            <w:tcW w:w="1418" w:type="dxa"/>
          </w:tcPr>
          <w:p w:rsidR="00D73FC9" w:rsidRDefault="00D73FC9" w:rsidP="006B1CF8">
            <w:r w:rsidRPr="006B1CF8">
              <w:t>Punkt 2.2.1</w:t>
            </w:r>
          </w:p>
        </w:tc>
        <w:tc>
          <w:tcPr>
            <w:tcW w:w="4961" w:type="dxa"/>
          </w:tcPr>
          <w:p w:rsidR="00D73FC9" w:rsidRDefault="00FF24A2" w:rsidP="00C9655C">
            <w:r>
              <w:t>Presiseringen</w:t>
            </w:r>
            <w:r w:rsidR="00D73FC9" w:rsidRPr="006B1CF8">
              <w:t xml:space="preserve"> av </w:t>
            </w:r>
            <w:r w:rsidR="00D73FC9">
              <w:t xml:space="preserve">at </w:t>
            </w:r>
            <w:r w:rsidR="00D73FC9" w:rsidRPr="006B1CF8">
              <w:t>kunden</w:t>
            </w:r>
            <w:r w:rsidR="00D73FC9">
              <w:t xml:space="preserve"> har ansvar for </w:t>
            </w:r>
            <w:r w:rsidR="00D73FC9" w:rsidRPr="006B1CF8">
              <w:t>oppgraderinger</w:t>
            </w:r>
            <w:r w:rsidR="00D73FC9">
              <w:t xml:space="preserve"> av egne programmer er fjernet i 2015 versjonen av SSA-K.</w:t>
            </w:r>
          </w:p>
        </w:tc>
        <w:tc>
          <w:tcPr>
            <w:tcW w:w="5343" w:type="dxa"/>
          </w:tcPr>
          <w:p w:rsidR="00D73FC9" w:rsidRDefault="00D73FC9" w:rsidP="00FF24A2">
            <w:r>
              <w:t>Endringen innebærer ikke at leverandøren får ansvar for oppgradering av kundens egen programvare, med mindre det er spesifisert i avtalen</w:t>
            </w:r>
            <w:r w:rsidR="00FF24A2">
              <w:t xml:space="preserve"> eller følger av punkt 2.1.1 siste avsnitt</w:t>
            </w:r>
            <w:r>
              <w:t>.</w:t>
            </w:r>
          </w:p>
        </w:tc>
      </w:tr>
      <w:tr w:rsidR="00D73FC9" w:rsidTr="00701EB6">
        <w:tc>
          <w:tcPr>
            <w:tcW w:w="2376" w:type="dxa"/>
          </w:tcPr>
          <w:p w:rsidR="00D73FC9" w:rsidRDefault="00D73FC9" w:rsidP="006B1CF8">
            <w:r w:rsidRPr="006B1CF8">
              <w:t>Undersøkelsesplikt</w:t>
            </w:r>
          </w:p>
        </w:tc>
        <w:tc>
          <w:tcPr>
            <w:tcW w:w="1418" w:type="dxa"/>
          </w:tcPr>
          <w:p w:rsidR="00D73FC9" w:rsidRDefault="00D73FC9" w:rsidP="006B1CF8">
            <w:r w:rsidRPr="006B1CF8">
              <w:t>Punkt 2.2.2</w:t>
            </w:r>
          </w:p>
        </w:tc>
        <w:tc>
          <w:tcPr>
            <w:tcW w:w="4961" w:type="dxa"/>
          </w:tcPr>
          <w:p w:rsidR="00D73FC9" w:rsidRDefault="00D73FC9" w:rsidP="000C18EC">
            <w:r>
              <w:t xml:space="preserve">I </w:t>
            </w:r>
            <w:r w:rsidR="006C1698">
              <w:t xml:space="preserve">bestemmelsen om undersøkelsesplikt </w:t>
            </w:r>
            <w:r>
              <w:t xml:space="preserve">er det lagt til </w:t>
            </w:r>
            <w:r>
              <w:rPr>
                <w:i/>
                <w:iCs/>
              </w:rPr>
              <w:t>"god forretningsskikk"</w:t>
            </w:r>
            <w:r>
              <w:t xml:space="preserve"> som en minimumsstandard for kundens undersøkelser av leveransen.</w:t>
            </w:r>
          </w:p>
          <w:p w:rsidR="00D73FC9" w:rsidRDefault="00D73FC9" w:rsidP="000C18EC"/>
          <w:p w:rsidR="00D73FC9" w:rsidRDefault="006C1698" w:rsidP="000C18EC">
            <w:r>
              <w:t xml:space="preserve">Det er videre presisert </w:t>
            </w:r>
            <w:r w:rsidR="00D73FC9" w:rsidRPr="006C1698">
              <w:t xml:space="preserve">at det </w:t>
            </w:r>
            <w:r>
              <w:t xml:space="preserve">skal foretas </w:t>
            </w:r>
            <w:r w:rsidR="00D73FC9" w:rsidRPr="006C1698">
              <w:t xml:space="preserve">en objektiv vurdering av om feilkategoriene er oppfylt. </w:t>
            </w:r>
            <w:r w:rsidR="00A912E4" w:rsidRPr="00C1286A">
              <w:t>Kunden kan ikke nekte å godkjenne leveransen dersom de påpekte feil er uvesentlige for Kundens bruk. A- og B-feil anses hver for seg som vesentlige med unntak av B-feil som ikke er vesentlige for Kundens mulighet til å ta utstyr og programvare i ordinær bruk mens feilretting pågår.</w:t>
            </w:r>
          </w:p>
          <w:p w:rsidR="00D73FC9" w:rsidRDefault="00D73FC9" w:rsidP="000C18EC"/>
          <w:p w:rsidR="00D73FC9" w:rsidRDefault="00D73FC9" w:rsidP="00D05793">
            <w:r>
              <w:t>Punket inneholder også regulering av når leveringsdag inntreffer hvis kunden skal gjennomføre godkjenningsprøve (sml. 2.1.5)</w:t>
            </w:r>
            <w:r w:rsidR="006C1698">
              <w:t>.</w:t>
            </w:r>
          </w:p>
        </w:tc>
        <w:tc>
          <w:tcPr>
            <w:tcW w:w="5343" w:type="dxa"/>
          </w:tcPr>
          <w:p w:rsidR="00D73FC9" w:rsidRDefault="00D73FC9" w:rsidP="00D05793">
            <w:r w:rsidRPr="006C1698">
              <w:lastRenderedPageBreak/>
              <w:t xml:space="preserve">Det er noe uklart om </w:t>
            </w:r>
            <w:r w:rsidRPr="006C1698">
              <w:rPr>
                <w:i/>
                <w:iCs/>
              </w:rPr>
              <w:t xml:space="preserve">"god forretningsskikk" </w:t>
            </w:r>
            <w:r w:rsidRPr="006C1698">
              <w:rPr>
                <w:iCs/>
              </w:rPr>
              <w:t>vil</w:t>
            </w:r>
            <w:r w:rsidRPr="006C1698">
              <w:rPr>
                <w:i/>
                <w:iCs/>
              </w:rPr>
              <w:t xml:space="preserve"> </w:t>
            </w:r>
            <w:r w:rsidR="00DA07D3" w:rsidRPr="00DA07D3">
              <w:rPr>
                <w:iCs/>
              </w:rPr>
              <w:t>være sammenfallende med</w:t>
            </w:r>
            <w:r w:rsidR="00DA07D3">
              <w:rPr>
                <w:i/>
                <w:iCs/>
              </w:rPr>
              <w:t xml:space="preserve"> </w:t>
            </w:r>
            <w:r w:rsidR="00DA07D3" w:rsidRPr="00DA07D3">
              <w:rPr>
                <w:iCs/>
              </w:rPr>
              <w:t>god</w:t>
            </w:r>
            <w:r w:rsidR="00DA07D3">
              <w:rPr>
                <w:i/>
                <w:iCs/>
              </w:rPr>
              <w:t xml:space="preserve"> </w:t>
            </w:r>
            <w:r w:rsidRPr="006C1698">
              <w:t>it</w:t>
            </w:r>
            <w:r w:rsidR="006C1698">
              <w:t>-</w:t>
            </w:r>
            <w:r w:rsidRPr="006C1698">
              <w:t xml:space="preserve">faglig standard, eller </w:t>
            </w:r>
            <w:r w:rsidR="006C1698">
              <w:t xml:space="preserve">om en </w:t>
            </w:r>
            <w:r w:rsidRPr="006C1698">
              <w:t xml:space="preserve">skal se hen til praksis </w:t>
            </w:r>
            <w:r w:rsidR="006C1698">
              <w:t xml:space="preserve">hos kunder flest (som kan være "dårligere"). </w:t>
            </w:r>
            <w:r w:rsidRPr="006C1698">
              <w:t xml:space="preserve">Kravet er av natur </w:t>
            </w:r>
            <w:r w:rsidR="00DA07D3">
              <w:t xml:space="preserve">skjønnsmessig </w:t>
            </w:r>
            <w:r w:rsidRPr="006C1698">
              <w:t xml:space="preserve">siden det ikke refererer til </w:t>
            </w:r>
            <w:r w:rsidR="000C235F">
              <w:t>no</w:t>
            </w:r>
            <w:r w:rsidRPr="006C1698">
              <w:t>en klart definert standard.</w:t>
            </w:r>
          </w:p>
          <w:p w:rsidR="00D73FC9" w:rsidRDefault="00D73FC9" w:rsidP="00D05793"/>
          <w:p w:rsidR="00D73FC9" w:rsidRDefault="00D73FC9" w:rsidP="00DA07D3">
            <w:r>
              <w:t xml:space="preserve">Presiseringen </w:t>
            </w:r>
            <w:r w:rsidR="00DA07D3">
              <w:t xml:space="preserve">av at det skal foretas </w:t>
            </w:r>
            <w:r>
              <w:t xml:space="preserve">en objektiv vurdering av feilkategorier innebærer antagelig ikke </w:t>
            </w:r>
            <w:r w:rsidR="006C1698">
              <w:t>no</w:t>
            </w:r>
            <w:r>
              <w:t>en realitetsendring.</w:t>
            </w:r>
          </w:p>
        </w:tc>
      </w:tr>
      <w:tr w:rsidR="00D73FC9" w:rsidTr="00701EB6">
        <w:tc>
          <w:tcPr>
            <w:tcW w:w="2376" w:type="dxa"/>
          </w:tcPr>
          <w:p w:rsidR="00D73FC9" w:rsidRDefault="00D73FC9" w:rsidP="006B1CF8">
            <w:r w:rsidRPr="006B1CF8">
              <w:lastRenderedPageBreak/>
              <w:t>Ansvar for underleverandør og tredjepart</w:t>
            </w:r>
          </w:p>
        </w:tc>
        <w:tc>
          <w:tcPr>
            <w:tcW w:w="1418" w:type="dxa"/>
          </w:tcPr>
          <w:p w:rsidR="00D73FC9" w:rsidRDefault="00D73FC9" w:rsidP="006B1CF8">
            <w:r>
              <w:t>Punkt 2.3</w:t>
            </w:r>
          </w:p>
        </w:tc>
        <w:tc>
          <w:tcPr>
            <w:tcW w:w="4961" w:type="dxa"/>
          </w:tcPr>
          <w:p w:rsidR="00D73FC9" w:rsidRPr="000C18EC" w:rsidRDefault="00A155F0" w:rsidP="006B1CF8">
            <w:r>
              <w:t>Avtalen inneholder ikke krav om kundens godkjenning av underleverandører.</w:t>
            </w:r>
          </w:p>
          <w:p w:rsidR="00D73FC9" w:rsidRPr="006B1CF8" w:rsidRDefault="00D73FC9" w:rsidP="006B1CF8">
            <w:pPr>
              <w:ind w:firstLine="708"/>
              <w:rPr>
                <w:highlight w:val="yellow"/>
              </w:rPr>
            </w:pPr>
          </w:p>
        </w:tc>
        <w:tc>
          <w:tcPr>
            <w:tcW w:w="5343" w:type="dxa"/>
          </w:tcPr>
          <w:p w:rsidR="00D73FC9" w:rsidRDefault="00A155F0" w:rsidP="00A155F0">
            <w:r>
              <w:t xml:space="preserve">Den part som engasjerer en underleverandør </w:t>
            </w:r>
            <w:r w:rsidR="00D73FC9">
              <w:t xml:space="preserve">er fullt </w:t>
            </w:r>
            <w:r w:rsidR="00664ED7">
              <w:t xml:space="preserve">ut </w:t>
            </w:r>
            <w:r w:rsidR="00D73FC9">
              <w:t>ansvarlig for sine underleverandører</w:t>
            </w:r>
            <w:r>
              <w:t xml:space="preserve">s utførelse </w:t>
            </w:r>
            <w:r w:rsidR="00D73FC9">
              <w:t xml:space="preserve">på samme måte som om </w:t>
            </w:r>
            <w:r>
              <w:t xml:space="preserve">parten </w:t>
            </w:r>
            <w:r w:rsidR="00D73FC9">
              <w:t xml:space="preserve">selv </w:t>
            </w:r>
            <w:r>
              <w:t>stod for utførelsen</w:t>
            </w:r>
            <w:r w:rsidR="00D73FC9">
              <w:t>.</w:t>
            </w:r>
          </w:p>
        </w:tc>
      </w:tr>
      <w:tr w:rsidR="00D73FC9" w:rsidTr="00701EB6">
        <w:tc>
          <w:tcPr>
            <w:tcW w:w="2376" w:type="dxa"/>
          </w:tcPr>
          <w:p w:rsidR="00D73FC9" w:rsidRDefault="00D73FC9" w:rsidP="006B1CF8">
            <w:r w:rsidRPr="006B1CF8">
              <w:t>Lønns- og arbeidsvilkår</w:t>
            </w:r>
          </w:p>
        </w:tc>
        <w:tc>
          <w:tcPr>
            <w:tcW w:w="1418" w:type="dxa"/>
          </w:tcPr>
          <w:p w:rsidR="00D73FC9" w:rsidRDefault="00D73FC9" w:rsidP="006B1CF8">
            <w:r>
              <w:t>Punkt 2.4</w:t>
            </w:r>
          </w:p>
        </w:tc>
        <w:tc>
          <w:tcPr>
            <w:tcW w:w="4961" w:type="dxa"/>
          </w:tcPr>
          <w:p w:rsidR="00D73FC9" w:rsidRPr="006B1CF8" w:rsidRDefault="00D73FC9" w:rsidP="00D05793">
            <w:pPr>
              <w:rPr>
                <w:highlight w:val="yellow"/>
              </w:rPr>
            </w:pPr>
            <w:r>
              <w:t>Det er presisert at bestemmelsene om vilkår iht. forskrift om allmengjort tariffavtale gjelder egne og "eventuelle underleverandørers ansatte som direkte medvirker til å oppfylle Leverandørens forpliktelser under denne avtalen". Bestemmelsen om landsomfattende tariffavtale for den aktuelle bransje gjelder de samme ansatte, men bare for arbeid som utføres i Norge.</w:t>
            </w:r>
          </w:p>
        </w:tc>
        <w:tc>
          <w:tcPr>
            <w:tcW w:w="5343" w:type="dxa"/>
          </w:tcPr>
          <w:p w:rsidR="00D73FC9" w:rsidRDefault="00D73FC9" w:rsidP="006B1CF8"/>
        </w:tc>
      </w:tr>
      <w:tr w:rsidR="009E73C1" w:rsidTr="000A3B07">
        <w:tc>
          <w:tcPr>
            <w:tcW w:w="2376" w:type="dxa"/>
          </w:tcPr>
          <w:p w:rsidR="009E73C1" w:rsidRDefault="009E73C1" w:rsidP="000A3B07">
            <w:r>
              <w:t>Skriftlighet</w:t>
            </w:r>
          </w:p>
        </w:tc>
        <w:tc>
          <w:tcPr>
            <w:tcW w:w="1418" w:type="dxa"/>
          </w:tcPr>
          <w:p w:rsidR="009E73C1" w:rsidRDefault="009E73C1" w:rsidP="000A3B07">
            <w:r>
              <w:t>2.6</w:t>
            </w:r>
          </w:p>
        </w:tc>
        <w:tc>
          <w:tcPr>
            <w:tcW w:w="4961" w:type="dxa"/>
          </w:tcPr>
          <w:p w:rsidR="009E73C1" w:rsidRDefault="009E73C1" w:rsidP="000A3B07">
            <w:r>
              <w:t>Det er presisert at a</w:t>
            </w:r>
            <w:r w:rsidRPr="009B1D79">
              <w:t>lle varsler, krav eller andre meddelelser knyttet til denne avtalen skal gis skriftlig</w:t>
            </w:r>
            <w:r>
              <w:t xml:space="preserve"> til den postadressen eller elektroniske adressen som er oppgitt på avtalens forside med mindre partene har avtalt noe annet i bilag 6 for den aktuelle type henvendelse.</w:t>
            </w:r>
          </w:p>
        </w:tc>
        <w:tc>
          <w:tcPr>
            <w:tcW w:w="5343" w:type="dxa"/>
          </w:tcPr>
          <w:p w:rsidR="009E73C1" w:rsidRDefault="009E73C1" w:rsidP="000A3B07">
            <w:r>
              <w:t>Bestemmelsen legger til rette for, og minner om, at partene kan avtale en hensiktsmessig metode for bruk av elektronisk meldingsformidling (e-post eller elektronisk samhandlingsløsning).</w:t>
            </w:r>
          </w:p>
        </w:tc>
      </w:tr>
      <w:tr w:rsidR="00D73FC9" w:rsidTr="00701EB6">
        <w:tc>
          <w:tcPr>
            <w:tcW w:w="2376" w:type="dxa"/>
          </w:tcPr>
          <w:p w:rsidR="00D73FC9" w:rsidRDefault="00D73FC9" w:rsidP="006B1CF8">
            <w:r w:rsidRPr="006B1CF8">
              <w:t>Eksterne rettelige krav</w:t>
            </w:r>
          </w:p>
        </w:tc>
        <w:tc>
          <w:tcPr>
            <w:tcW w:w="1418" w:type="dxa"/>
          </w:tcPr>
          <w:p w:rsidR="00D73FC9" w:rsidRDefault="00D73FC9" w:rsidP="006B1CF8">
            <w:r w:rsidRPr="006B1CF8">
              <w:t>Punkt 2.7</w:t>
            </w:r>
          </w:p>
        </w:tc>
        <w:tc>
          <w:tcPr>
            <w:tcW w:w="4961" w:type="dxa"/>
          </w:tcPr>
          <w:p w:rsidR="00D73FC9" w:rsidRDefault="00D73FC9" w:rsidP="000C18EC">
            <w:r>
              <w:t>Bestemmelsen er forenklet bl.a. ved at eksempler på potensielt relevant regelverk er fjernet. Det er presisert at det er kundens ansvar å angi hvilke rettslige krav som er relevante for gjennomføring av avtalen.</w:t>
            </w:r>
          </w:p>
        </w:tc>
        <w:tc>
          <w:tcPr>
            <w:tcW w:w="5343" w:type="dxa"/>
          </w:tcPr>
          <w:p w:rsidR="00D73FC9" w:rsidRDefault="00D73FC9" w:rsidP="00105DEC"/>
        </w:tc>
      </w:tr>
      <w:tr w:rsidR="00D73FC9" w:rsidTr="00701EB6">
        <w:tc>
          <w:tcPr>
            <w:tcW w:w="2376" w:type="dxa"/>
          </w:tcPr>
          <w:p w:rsidR="00D73FC9" w:rsidRDefault="00D73FC9" w:rsidP="006B1CF8">
            <w:r w:rsidRPr="006B1CF8">
              <w:t>Vederlag</w:t>
            </w:r>
          </w:p>
        </w:tc>
        <w:tc>
          <w:tcPr>
            <w:tcW w:w="1418" w:type="dxa"/>
          </w:tcPr>
          <w:p w:rsidR="00D73FC9" w:rsidRDefault="00D73FC9" w:rsidP="006B1CF8">
            <w:r w:rsidRPr="006B1CF8">
              <w:t>Punkt 3.1</w:t>
            </w:r>
          </w:p>
        </w:tc>
        <w:tc>
          <w:tcPr>
            <w:tcW w:w="4961" w:type="dxa"/>
          </w:tcPr>
          <w:p w:rsidR="00D73FC9" w:rsidRDefault="00D73FC9" w:rsidP="00BC1325">
            <w:r w:rsidRPr="006B1CF8">
              <w:t>Vederlagsbestemmelsen</w:t>
            </w:r>
            <w:r>
              <w:t xml:space="preserve"> </w:t>
            </w:r>
            <w:r w:rsidRPr="006B1CF8">
              <w:t xml:space="preserve">inneholder en referanse til </w:t>
            </w:r>
            <w:r w:rsidRPr="000C18EC">
              <w:rPr>
                <w:i/>
              </w:rPr>
              <w:t>DDP</w:t>
            </w:r>
            <w:r w:rsidRPr="006B1CF8">
              <w:t xml:space="preserve"> under </w:t>
            </w:r>
            <w:r>
              <w:t>Incoterms</w:t>
            </w:r>
            <w:r w:rsidRPr="006B1CF8">
              <w:t xml:space="preserve"> </w:t>
            </w:r>
            <w:r w:rsidR="004C1235">
              <w:t>(</w:t>
            </w:r>
            <w:r w:rsidRPr="006B1CF8">
              <w:t xml:space="preserve">som innebærer at leverandøren har transportrisikoen og betaler </w:t>
            </w:r>
            <w:r w:rsidR="003C75B2">
              <w:t xml:space="preserve">innførselsmerverdiavgift </w:t>
            </w:r>
            <w:r w:rsidRPr="006B1CF8">
              <w:t>og toll samt har risiko for endringer av tollregler etc.</w:t>
            </w:r>
            <w:r w:rsidR="004C1235">
              <w:t>)</w:t>
            </w:r>
            <w:r w:rsidRPr="006B1CF8">
              <w:t xml:space="preserve"> </w:t>
            </w:r>
          </w:p>
        </w:tc>
        <w:tc>
          <w:tcPr>
            <w:tcW w:w="5343" w:type="dxa"/>
          </w:tcPr>
          <w:p w:rsidR="00D73FC9" w:rsidRDefault="00D73FC9" w:rsidP="00285BA2">
            <w:r>
              <w:t xml:space="preserve">Det </w:t>
            </w:r>
            <w:r w:rsidR="003C75B2">
              <w:t xml:space="preserve">fremgår ikke uttrykkelig, men </w:t>
            </w:r>
            <w:r>
              <w:t xml:space="preserve">vil antagelig være naturlig å legge til grunn siste versjon av Incoterms </w:t>
            </w:r>
            <w:r w:rsidR="003C75B2">
              <w:t xml:space="preserve">som er </w:t>
            </w:r>
            <w:r>
              <w:t xml:space="preserve">tilgjengelig ved avtaleinngåelsen. </w:t>
            </w:r>
            <w:r w:rsidRPr="003C75B2">
              <w:t xml:space="preserve"> </w:t>
            </w:r>
          </w:p>
        </w:tc>
      </w:tr>
      <w:tr w:rsidR="00D73FC9" w:rsidTr="00701EB6">
        <w:tc>
          <w:tcPr>
            <w:tcW w:w="2376" w:type="dxa"/>
          </w:tcPr>
          <w:p w:rsidR="00D73FC9" w:rsidRDefault="00D73FC9" w:rsidP="006B1CF8">
            <w:r w:rsidRPr="00583009">
              <w:t>Faktureringstidspunkt og betalingsbetingelser</w:t>
            </w:r>
          </w:p>
        </w:tc>
        <w:tc>
          <w:tcPr>
            <w:tcW w:w="1418" w:type="dxa"/>
          </w:tcPr>
          <w:p w:rsidR="00D73FC9" w:rsidRDefault="00D73FC9" w:rsidP="00583009">
            <w:r w:rsidRPr="00583009">
              <w:t>Punkt 3.2</w:t>
            </w:r>
          </w:p>
        </w:tc>
        <w:tc>
          <w:tcPr>
            <w:tcW w:w="4961" w:type="dxa"/>
          </w:tcPr>
          <w:p w:rsidR="00D73FC9" w:rsidRDefault="00D73FC9" w:rsidP="00B05C9E">
            <w:r>
              <w:t>I 2015 utgaven av SSA-K er det gjort s</w:t>
            </w:r>
            <w:r w:rsidRPr="00583009">
              <w:t>må endringer</w:t>
            </w:r>
            <w:r>
              <w:t xml:space="preserve"> i denne bestemmelsen</w:t>
            </w:r>
            <w:r w:rsidR="00B05C9E">
              <w:t xml:space="preserve"> og</w:t>
            </w:r>
            <w:r w:rsidRPr="00583009">
              <w:t xml:space="preserve"> særreguleringen av løpende vederlag tatt ut.</w:t>
            </w:r>
          </w:p>
        </w:tc>
        <w:tc>
          <w:tcPr>
            <w:tcW w:w="5343" w:type="dxa"/>
          </w:tcPr>
          <w:p w:rsidR="00D73FC9" w:rsidRDefault="00D73FC9" w:rsidP="006B1CF8"/>
        </w:tc>
      </w:tr>
      <w:tr w:rsidR="00D73FC9" w:rsidTr="00701EB6">
        <w:tc>
          <w:tcPr>
            <w:tcW w:w="2376" w:type="dxa"/>
          </w:tcPr>
          <w:p w:rsidR="00D73FC9" w:rsidRDefault="00D73FC9" w:rsidP="00583009">
            <w:r w:rsidRPr="00583009">
              <w:t>Prisendringer</w:t>
            </w:r>
          </w:p>
        </w:tc>
        <w:tc>
          <w:tcPr>
            <w:tcW w:w="1418" w:type="dxa"/>
          </w:tcPr>
          <w:p w:rsidR="00D73FC9" w:rsidRDefault="00D73FC9" w:rsidP="00583009">
            <w:r w:rsidRPr="00583009">
              <w:t>Punkt 3.5</w:t>
            </w:r>
          </w:p>
        </w:tc>
        <w:tc>
          <w:tcPr>
            <w:tcW w:w="4961" w:type="dxa"/>
          </w:tcPr>
          <w:p w:rsidR="00D73FC9" w:rsidRDefault="00D73FC9" w:rsidP="0091756B">
            <w:r w:rsidRPr="00583009">
              <w:t xml:space="preserve">Reglene om </w:t>
            </w:r>
            <w:r>
              <w:t xml:space="preserve">vederlagsjustering ved </w:t>
            </w:r>
            <w:r w:rsidRPr="00583009">
              <w:t xml:space="preserve">endringer i valutakurser </w:t>
            </w:r>
            <w:r>
              <w:t>samt</w:t>
            </w:r>
            <w:r w:rsidRPr="00583009">
              <w:t xml:space="preserve"> konsumprisjustering er fjernet</w:t>
            </w:r>
            <w:r w:rsidR="00E74A15">
              <w:t xml:space="preserve"> fra standardteksten</w:t>
            </w:r>
            <w:r w:rsidRPr="00583009">
              <w:t>.</w:t>
            </w:r>
            <w:r w:rsidR="00E74A15">
              <w:t xml:space="preserve"> </w:t>
            </w:r>
          </w:p>
        </w:tc>
        <w:tc>
          <w:tcPr>
            <w:tcW w:w="5343" w:type="dxa"/>
          </w:tcPr>
          <w:p w:rsidR="00D73FC9" w:rsidRDefault="00D73FC9" w:rsidP="0091756B">
            <w:r w:rsidRPr="00434FA0">
              <w:t>Fjerningen av reglene om vederlagsjustering ved endringer i valutakurser innebærer at leverandøren må bruke andre virkemidler for å sikre seg mot valutarisiko.</w:t>
            </w:r>
            <w:r w:rsidR="0091756B">
              <w:t xml:space="preserve"> Bestemmelser om prisendringer tilpasset den enkelte leveranse kan avtales i bilag 7.</w:t>
            </w:r>
          </w:p>
        </w:tc>
      </w:tr>
      <w:tr w:rsidR="00D73FC9" w:rsidTr="00701EB6">
        <w:tc>
          <w:tcPr>
            <w:tcW w:w="2376" w:type="dxa"/>
          </w:tcPr>
          <w:p w:rsidR="00D73FC9" w:rsidRDefault="00D73FC9" w:rsidP="00583009">
            <w:r>
              <w:t>Begrenset disposisjonsrett</w:t>
            </w:r>
            <w:r w:rsidR="003627A0">
              <w:t xml:space="preserve"> – revisjonsrett for leverandør</w:t>
            </w:r>
          </w:p>
        </w:tc>
        <w:tc>
          <w:tcPr>
            <w:tcW w:w="1418" w:type="dxa"/>
          </w:tcPr>
          <w:p w:rsidR="00D73FC9" w:rsidRDefault="00D73FC9" w:rsidP="00583009">
            <w:r w:rsidRPr="00583009">
              <w:t>Punkt 4.2.1</w:t>
            </w:r>
          </w:p>
        </w:tc>
        <w:tc>
          <w:tcPr>
            <w:tcW w:w="4961" w:type="dxa"/>
          </w:tcPr>
          <w:p w:rsidR="00D73FC9" w:rsidRDefault="003627A0" w:rsidP="003627A0">
            <w:r>
              <w:t>Hvis det er avtalt begrensninger i disposisjonsretten (f.eks. et visst antall brukere e.l.) har leverandøren rett til å gjennomføre revisjon for å verifisere at begrensningene overholdes.</w:t>
            </w:r>
          </w:p>
        </w:tc>
        <w:tc>
          <w:tcPr>
            <w:tcW w:w="5343" w:type="dxa"/>
          </w:tcPr>
          <w:p w:rsidR="00D73FC9" w:rsidRPr="00434FA0" w:rsidRDefault="00D73FC9" w:rsidP="00DC394B">
            <w:pPr>
              <w:spacing w:after="200" w:line="276" w:lineRule="auto"/>
            </w:pPr>
            <w:r w:rsidRPr="00434FA0">
              <w:t>Bestemmelsen regulerer ikke konfidensialitet ved revisjonen og kunder kan ha behov for å innta regulering av dette for å sikre ivaretakelse av eksterne og interne krav til konfidensialitet, f.eks. for å sikre personvern og forretningshemmeligheter.</w:t>
            </w:r>
          </w:p>
        </w:tc>
      </w:tr>
      <w:tr w:rsidR="00D73FC9" w:rsidTr="00701EB6">
        <w:tc>
          <w:tcPr>
            <w:tcW w:w="2376" w:type="dxa"/>
          </w:tcPr>
          <w:p w:rsidR="00D73FC9" w:rsidRDefault="00D73FC9" w:rsidP="00583009">
            <w:r w:rsidRPr="00583009">
              <w:t>Rettigheter til tilpasning</w:t>
            </w:r>
            <w:r w:rsidR="00434FA0">
              <w:t>er</w:t>
            </w:r>
          </w:p>
        </w:tc>
        <w:tc>
          <w:tcPr>
            <w:tcW w:w="1418" w:type="dxa"/>
          </w:tcPr>
          <w:p w:rsidR="00D73FC9" w:rsidRDefault="00D73FC9" w:rsidP="00583009">
            <w:r w:rsidRPr="00583009">
              <w:t>Tidligere punkt 4.2.2</w:t>
            </w:r>
          </w:p>
        </w:tc>
        <w:tc>
          <w:tcPr>
            <w:tcW w:w="4961" w:type="dxa"/>
          </w:tcPr>
          <w:p w:rsidR="00D73FC9" w:rsidRDefault="00434FA0" w:rsidP="00434FA0">
            <w:r>
              <w:t xml:space="preserve">Avtalen inneholder ikke egne bestemmelser om </w:t>
            </w:r>
            <w:r w:rsidR="00D73FC9">
              <w:t>rettigheter til tilpasninger.</w:t>
            </w:r>
          </w:p>
        </w:tc>
        <w:tc>
          <w:tcPr>
            <w:tcW w:w="5343" w:type="dxa"/>
          </w:tcPr>
          <w:p w:rsidR="00D73FC9" w:rsidRDefault="00D73FC9" w:rsidP="00DC394B">
            <w:r>
              <w:t xml:space="preserve">Endringen må sees i lys av at </w:t>
            </w:r>
            <w:r w:rsidRPr="00583009">
              <w:t>fokuset i 2015 avtalen er på levering av programvare som ikke skal tilpasses</w:t>
            </w:r>
            <w:r>
              <w:t>.</w:t>
            </w:r>
          </w:p>
        </w:tc>
      </w:tr>
      <w:tr w:rsidR="00D73FC9" w:rsidTr="00701EB6">
        <w:tc>
          <w:tcPr>
            <w:tcW w:w="2376" w:type="dxa"/>
          </w:tcPr>
          <w:p w:rsidR="00D73FC9" w:rsidRDefault="00D73FC9" w:rsidP="00583009">
            <w:r w:rsidRPr="00583009">
              <w:t>Tilbakelevering eller destruksjon ved opphør av disposisjonsrett</w:t>
            </w:r>
          </w:p>
        </w:tc>
        <w:tc>
          <w:tcPr>
            <w:tcW w:w="1418" w:type="dxa"/>
          </w:tcPr>
          <w:p w:rsidR="00D73FC9" w:rsidRDefault="00D73FC9" w:rsidP="00583009">
            <w:r w:rsidRPr="00583009">
              <w:t>Punkt 4.2.2</w:t>
            </w:r>
          </w:p>
          <w:p w:rsidR="00D73FC9" w:rsidRPr="00583009" w:rsidRDefault="00D73FC9" w:rsidP="00583009">
            <w:pPr>
              <w:jc w:val="center"/>
            </w:pPr>
          </w:p>
        </w:tc>
        <w:tc>
          <w:tcPr>
            <w:tcW w:w="4961" w:type="dxa"/>
          </w:tcPr>
          <w:p w:rsidR="00D73FC9" w:rsidRDefault="00D73FC9" w:rsidP="002A4583">
            <w:r>
              <w:t xml:space="preserve">De nye reglene innebærer at </w:t>
            </w:r>
            <w:r w:rsidR="002A4583">
              <w:t xml:space="preserve">hvis kunden har en tidsbegrenset disposisjonsrett, må </w:t>
            </w:r>
            <w:r>
              <w:t xml:space="preserve">kunden slette programvare når lisensen utløper. </w:t>
            </w:r>
          </w:p>
        </w:tc>
        <w:tc>
          <w:tcPr>
            <w:tcW w:w="5343" w:type="dxa"/>
          </w:tcPr>
          <w:p w:rsidR="00D73FC9" w:rsidRPr="002A4583" w:rsidRDefault="00D73FC9" w:rsidP="002A4583">
            <w:pPr>
              <w:spacing w:after="200" w:line="276" w:lineRule="auto"/>
            </w:pPr>
            <w:r w:rsidRPr="002A4583">
              <w:t xml:space="preserve">Bestemmelsen </w:t>
            </w:r>
            <w:r w:rsidR="002A4583">
              <w:t xml:space="preserve">har ingen særregler om eventuelle sikkerhetskopier av programvaren. Ettersom sletteregelen gjelder alle eksemplarer som er omfattet av disposisjonsretten, er </w:t>
            </w:r>
            <w:r w:rsidRPr="002A4583">
              <w:t xml:space="preserve">kunden </w:t>
            </w:r>
            <w:r w:rsidR="002A4583">
              <w:t xml:space="preserve">også </w:t>
            </w:r>
            <w:r w:rsidRPr="002A4583">
              <w:t xml:space="preserve">forpliktet til å slette </w:t>
            </w:r>
            <w:r w:rsidR="002A4583">
              <w:t>sikkerhetskopier</w:t>
            </w:r>
            <w:r w:rsidRPr="002A4583">
              <w:t xml:space="preserve"> selv om det kan være vanskelig / tidkrevende.</w:t>
            </w:r>
          </w:p>
        </w:tc>
      </w:tr>
      <w:tr w:rsidR="00D73FC9" w:rsidTr="00701EB6">
        <w:tc>
          <w:tcPr>
            <w:tcW w:w="2376" w:type="dxa"/>
          </w:tcPr>
          <w:p w:rsidR="00D73FC9" w:rsidRDefault="00D73FC9" w:rsidP="00583009">
            <w:r w:rsidRPr="00583009">
              <w:t>Fri programvare</w:t>
            </w:r>
          </w:p>
        </w:tc>
        <w:tc>
          <w:tcPr>
            <w:tcW w:w="1418" w:type="dxa"/>
          </w:tcPr>
          <w:p w:rsidR="00D73FC9" w:rsidRDefault="00D73FC9" w:rsidP="00583009">
            <w:r w:rsidRPr="00583009">
              <w:t>Punkt 4.3</w:t>
            </w:r>
            <w:r w:rsidR="002A4583">
              <w:t xml:space="preserve"> siste avsnitt</w:t>
            </w:r>
          </w:p>
        </w:tc>
        <w:tc>
          <w:tcPr>
            <w:tcW w:w="4961" w:type="dxa"/>
          </w:tcPr>
          <w:p w:rsidR="00D73FC9" w:rsidRPr="004C309E" w:rsidRDefault="00D73FC9" w:rsidP="002A4583">
            <w:r w:rsidRPr="004C309E">
              <w:t xml:space="preserve">Avtalen inneholder ny regulering av situasjonen der </w:t>
            </w:r>
            <w:r w:rsidRPr="004C309E">
              <w:rPr>
                <w:i/>
              </w:rPr>
              <w:t>kunden</w:t>
            </w:r>
            <w:r w:rsidRPr="004C309E">
              <w:t xml:space="preserve"> krever bruk av fri programvare. Da vil kunden være ansvarlig for rettsmangler og feil i den frie programvaren, </w:t>
            </w:r>
            <w:r w:rsidR="002A4583" w:rsidRPr="004C309E">
              <w:t>men</w:t>
            </w:r>
            <w:r w:rsidRPr="004C309E">
              <w:t xml:space="preserve"> leverandøren skal </w:t>
            </w:r>
            <w:r w:rsidR="002A4583" w:rsidRPr="004C309E">
              <w:t xml:space="preserve">mot betaling </w:t>
            </w:r>
            <w:r w:rsidRPr="004C309E">
              <w:t>bistå med å rette slik avvik.</w:t>
            </w:r>
          </w:p>
        </w:tc>
        <w:tc>
          <w:tcPr>
            <w:tcW w:w="5343" w:type="dxa"/>
          </w:tcPr>
          <w:p w:rsidR="00D73FC9" w:rsidRDefault="00D73FC9" w:rsidP="00583009"/>
        </w:tc>
      </w:tr>
      <w:tr w:rsidR="00D73FC9" w:rsidTr="00701EB6">
        <w:tc>
          <w:tcPr>
            <w:tcW w:w="2376" w:type="dxa"/>
          </w:tcPr>
          <w:p w:rsidR="00D73FC9" w:rsidRDefault="00D73FC9" w:rsidP="00583009">
            <w:r w:rsidRPr="00583009">
              <w:t>Krenkelse av andres immaterielle rettigheter (rettsmangel)</w:t>
            </w:r>
          </w:p>
        </w:tc>
        <w:tc>
          <w:tcPr>
            <w:tcW w:w="1418" w:type="dxa"/>
          </w:tcPr>
          <w:p w:rsidR="00D73FC9" w:rsidRDefault="00D73FC9" w:rsidP="00583009">
            <w:r w:rsidRPr="00583009">
              <w:t>Punkt 5.1.3</w:t>
            </w:r>
          </w:p>
        </w:tc>
        <w:tc>
          <w:tcPr>
            <w:tcW w:w="4961" w:type="dxa"/>
          </w:tcPr>
          <w:p w:rsidR="00D73FC9" w:rsidRPr="004C309E" w:rsidRDefault="00D73FC9" w:rsidP="005114EC">
            <w:r w:rsidRPr="004C309E">
              <w:t xml:space="preserve">Reglene om rett(ighets)smangler er endret slik at ved rettsmangler skal leverandøren </w:t>
            </w:r>
            <w:r w:rsidR="004C309E">
              <w:t xml:space="preserve">forsøke å </w:t>
            </w:r>
            <w:r w:rsidRPr="004C309E">
              <w:t>skaffe rettigheten som mangler fra tredjepart eller disposisjonsrett til tilsvarende programvare. Hvis de to foregående alternativene</w:t>
            </w:r>
            <w:r w:rsidRPr="004C309E">
              <w:rPr>
                <w:i/>
              </w:rPr>
              <w:t xml:space="preserve"> "ikke er mulig"</w:t>
            </w:r>
            <w:r w:rsidRPr="004C309E">
              <w:t xml:space="preserve"> </w:t>
            </w:r>
            <w:r w:rsidR="004C309E">
              <w:t xml:space="preserve">har kunden rett til å levere programvaren tilbake og </w:t>
            </w:r>
            <w:r w:rsidRPr="004C309E">
              <w:t xml:space="preserve">få refundert den tilhørende delen av kjøpesummen. </w:t>
            </w:r>
          </w:p>
          <w:p w:rsidR="00D73FC9" w:rsidRPr="004C309E" w:rsidRDefault="00D73FC9" w:rsidP="005114EC"/>
          <w:p w:rsidR="00D73FC9" w:rsidRPr="004C309E" w:rsidRDefault="00D73FC9" w:rsidP="005114EC">
            <w:r w:rsidRPr="004C309E">
              <w:t xml:space="preserve">Endringen innebærer også en varslingsplikt ved rettsmangler og at leverandøren skal </w:t>
            </w:r>
            <w:r w:rsidRPr="004C309E">
              <w:rPr>
                <w:i/>
              </w:rPr>
              <w:t>"for egen regning håndtere kravet"</w:t>
            </w:r>
            <w:r w:rsidRPr="004C309E">
              <w:t xml:space="preserve">. </w:t>
            </w:r>
          </w:p>
        </w:tc>
        <w:tc>
          <w:tcPr>
            <w:tcW w:w="5343" w:type="dxa"/>
          </w:tcPr>
          <w:p w:rsidR="00D73FC9" w:rsidRPr="00285BA2" w:rsidRDefault="00D73FC9" w:rsidP="004C309E">
            <w:r w:rsidRPr="004C309E">
              <w:t xml:space="preserve">Det at leverandøren for </w:t>
            </w:r>
            <w:r w:rsidRPr="004C309E">
              <w:rPr>
                <w:i/>
              </w:rPr>
              <w:t>"for egen regning håndtere[r] kravet"</w:t>
            </w:r>
            <w:r w:rsidRPr="004C309E">
              <w:t xml:space="preserve"> vil kunne innebære </w:t>
            </w:r>
            <w:r w:rsidR="004C309E">
              <w:t xml:space="preserve">en </w:t>
            </w:r>
            <w:r w:rsidRPr="004C309E">
              <w:t>risiko for kunder som selv ønsker å ha kontroll over håndteringen av kravet f.eks. for å sikre konfidensialitet rundt bruk og bruksmåte eller hvor leverandøren har dårlig økonomi og kunden risikerer selv å måtte bære motparts saksomkostninger hvis leverandørens strategi i retten mislykkes.</w:t>
            </w:r>
          </w:p>
        </w:tc>
      </w:tr>
      <w:tr w:rsidR="00D73FC9" w:rsidTr="00701EB6">
        <w:tc>
          <w:tcPr>
            <w:tcW w:w="2376" w:type="dxa"/>
          </w:tcPr>
          <w:p w:rsidR="00D73FC9" w:rsidRDefault="00D73FC9" w:rsidP="00583009">
            <w:r w:rsidRPr="00583009">
              <w:t>Varslingsplikt</w:t>
            </w:r>
          </w:p>
        </w:tc>
        <w:tc>
          <w:tcPr>
            <w:tcW w:w="1418" w:type="dxa"/>
          </w:tcPr>
          <w:p w:rsidR="00D73FC9" w:rsidRDefault="00D73FC9" w:rsidP="00583009">
            <w:r w:rsidRPr="00583009">
              <w:t>Punkt 5.</w:t>
            </w:r>
            <w:r>
              <w:t>3</w:t>
            </w:r>
          </w:p>
        </w:tc>
        <w:tc>
          <w:tcPr>
            <w:tcW w:w="4961" w:type="dxa"/>
          </w:tcPr>
          <w:p w:rsidR="00D73FC9" w:rsidRDefault="004C309E" w:rsidP="004C309E">
            <w:r>
              <w:t xml:space="preserve">Kunden kan ikke </w:t>
            </w:r>
            <w:r w:rsidRPr="00C1286A">
              <w:t xml:space="preserve">kreve erstatning eller andre misligholdsbeføyelser for forhold som ikke er varslet </w:t>
            </w:r>
            <w:r>
              <w:t xml:space="preserve">leverandøren </w:t>
            </w:r>
            <w:r w:rsidRPr="00C1286A">
              <w:t xml:space="preserve">senest innen utløpet av garantiperioden. </w:t>
            </w:r>
          </w:p>
        </w:tc>
        <w:tc>
          <w:tcPr>
            <w:tcW w:w="5343" w:type="dxa"/>
          </w:tcPr>
          <w:p w:rsidR="00D73FC9" w:rsidRDefault="00F14C09" w:rsidP="004C309E">
            <w:r>
              <w:t>Med mindre annet er avtalt er garantiperioden ett år for programvare og to år for utstyr, se punkt 2.1.6.</w:t>
            </w:r>
          </w:p>
        </w:tc>
      </w:tr>
      <w:tr w:rsidR="00D73FC9" w:rsidTr="00221318">
        <w:tc>
          <w:tcPr>
            <w:tcW w:w="2376" w:type="dxa"/>
          </w:tcPr>
          <w:p w:rsidR="00D73FC9" w:rsidRDefault="00D73FC9" w:rsidP="00583009">
            <w:r w:rsidRPr="00583009">
              <w:t>Dagbot ved forsinkelse</w:t>
            </w:r>
          </w:p>
        </w:tc>
        <w:tc>
          <w:tcPr>
            <w:tcW w:w="1418" w:type="dxa"/>
          </w:tcPr>
          <w:p w:rsidR="00D73FC9" w:rsidRDefault="00D73FC9" w:rsidP="00583009">
            <w:r w:rsidRPr="00583009">
              <w:t>Punkt 6.2</w:t>
            </w:r>
          </w:p>
        </w:tc>
        <w:tc>
          <w:tcPr>
            <w:tcW w:w="4961" w:type="dxa"/>
            <w:shd w:val="clear" w:color="auto" w:fill="auto"/>
          </w:tcPr>
          <w:p w:rsidR="00D73FC9" w:rsidRPr="0082700A" w:rsidRDefault="004C309E" w:rsidP="004C309E">
            <w:pPr>
              <w:rPr>
                <w:highlight w:val="yellow"/>
              </w:rPr>
            </w:pPr>
            <w:r>
              <w:t xml:space="preserve">Det er bare én dagbotsanksjonert milepæl i standardavtalen (leveringsdag). Bestemmelsen om </w:t>
            </w:r>
            <w:r w:rsidR="00D73FC9" w:rsidRPr="00221318">
              <w:t>forskyving av fremtidige milepæler i dagbotperioden</w:t>
            </w:r>
            <w:r>
              <w:t>, som fantes i 2013-versjonen, er derfor fjernet</w:t>
            </w:r>
            <w:r w:rsidR="00D73FC9" w:rsidRPr="00221318">
              <w:t>.</w:t>
            </w:r>
          </w:p>
        </w:tc>
        <w:tc>
          <w:tcPr>
            <w:tcW w:w="5343" w:type="dxa"/>
          </w:tcPr>
          <w:p w:rsidR="00D73FC9" w:rsidRDefault="00D73FC9" w:rsidP="00285BA2"/>
        </w:tc>
      </w:tr>
      <w:tr w:rsidR="00221318" w:rsidTr="000A3B07">
        <w:tc>
          <w:tcPr>
            <w:tcW w:w="2376" w:type="dxa"/>
          </w:tcPr>
          <w:p w:rsidR="00221318" w:rsidRDefault="00221318" w:rsidP="000A3B07">
            <w:r>
              <w:t>Erstatning</w:t>
            </w:r>
          </w:p>
        </w:tc>
        <w:tc>
          <w:tcPr>
            <w:tcW w:w="1418" w:type="dxa"/>
          </w:tcPr>
          <w:p w:rsidR="00221318" w:rsidRDefault="00221318" w:rsidP="000A3B07">
            <w:r>
              <w:t>Punkt 6.6</w:t>
            </w:r>
          </w:p>
        </w:tc>
        <w:tc>
          <w:tcPr>
            <w:tcW w:w="4961" w:type="dxa"/>
          </w:tcPr>
          <w:p w:rsidR="00221318" w:rsidRDefault="00221318" w:rsidP="00221318">
            <w:r>
              <w:t xml:space="preserve">Bestemmelsene om hva som regnes som direkte og indirekte tap er endret og presisert. </w:t>
            </w:r>
            <w:r w:rsidRPr="00354C39">
              <w:t xml:space="preserve">Indirekte tap omfatter, men er ikke begrenset til, tapt fortjeneste av enhver art, tapte besparelser, tap av data og krav fra tredjeparter med unntak av idømt erstatningsansvar </w:t>
            </w:r>
            <w:r>
              <w:t>for rettsmangler leverandøren hefter for. Det er presisert i punkt 6.5 at merkostnader kunden får ved dekningskjøp regnes som direkte tap.</w:t>
            </w:r>
          </w:p>
        </w:tc>
        <w:tc>
          <w:tcPr>
            <w:tcW w:w="5343" w:type="dxa"/>
          </w:tcPr>
          <w:p w:rsidR="00221318" w:rsidRDefault="00221318" w:rsidP="000A3B07"/>
        </w:tc>
      </w:tr>
      <w:tr w:rsidR="00D73FC9" w:rsidTr="00701EB6">
        <w:tc>
          <w:tcPr>
            <w:tcW w:w="2376" w:type="dxa"/>
          </w:tcPr>
          <w:p w:rsidR="00D73FC9" w:rsidRPr="00583009" w:rsidRDefault="00D73FC9" w:rsidP="00583009">
            <w:r w:rsidRPr="00583009">
              <w:t>Risiko for utstyr og programmer</w:t>
            </w:r>
          </w:p>
        </w:tc>
        <w:tc>
          <w:tcPr>
            <w:tcW w:w="1418" w:type="dxa"/>
          </w:tcPr>
          <w:p w:rsidR="00D73FC9" w:rsidRPr="00583009" w:rsidRDefault="00D73FC9" w:rsidP="00583009">
            <w:r w:rsidRPr="00583009">
              <w:t>Punkt 7.1</w:t>
            </w:r>
          </w:p>
        </w:tc>
        <w:tc>
          <w:tcPr>
            <w:tcW w:w="4961" w:type="dxa"/>
          </w:tcPr>
          <w:p w:rsidR="00D73FC9" w:rsidRDefault="002A39F0" w:rsidP="002A39F0">
            <w:r>
              <w:t xml:space="preserve">Avtalen inneholder ikke lenger noen rett for </w:t>
            </w:r>
            <w:r w:rsidR="00D73FC9" w:rsidRPr="00583009">
              <w:t>kunden</w:t>
            </w:r>
            <w:r>
              <w:t xml:space="preserve"> til å få levert ny </w:t>
            </w:r>
            <w:r w:rsidR="00D73FC9">
              <w:t>kopi</w:t>
            </w:r>
            <w:r w:rsidR="00D73FC9" w:rsidRPr="00583009">
              <w:t xml:space="preserve"> av programvare</w:t>
            </w:r>
            <w:r>
              <w:t>n</w:t>
            </w:r>
            <w:r w:rsidR="00D73FC9" w:rsidRPr="00583009">
              <w:t xml:space="preserve"> hvis kunden taper programvare</w:t>
            </w:r>
            <w:r w:rsidR="00D73FC9">
              <w:t>n</w:t>
            </w:r>
            <w:r>
              <w:t xml:space="preserve"> etter at risikoen har gått over</w:t>
            </w:r>
            <w:r w:rsidR="00D73FC9">
              <w:t>.</w:t>
            </w:r>
          </w:p>
        </w:tc>
        <w:tc>
          <w:tcPr>
            <w:tcW w:w="5343" w:type="dxa"/>
          </w:tcPr>
          <w:p w:rsidR="00D73FC9" w:rsidRDefault="00D73FC9" w:rsidP="0006668D"/>
        </w:tc>
      </w:tr>
      <w:tr w:rsidR="00D73FC9" w:rsidTr="00701EB6">
        <w:tc>
          <w:tcPr>
            <w:tcW w:w="2376" w:type="dxa"/>
          </w:tcPr>
          <w:p w:rsidR="00D73FC9" w:rsidRPr="00583009" w:rsidRDefault="00D73FC9" w:rsidP="00583009">
            <w:r w:rsidRPr="00583009">
              <w:t>Overdragelse av rettigheter og plikter</w:t>
            </w:r>
          </w:p>
        </w:tc>
        <w:tc>
          <w:tcPr>
            <w:tcW w:w="1418" w:type="dxa"/>
          </w:tcPr>
          <w:p w:rsidR="00D73FC9" w:rsidRPr="00583009" w:rsidRDefault="00D73FC9" w:rsidP="00583009">
            <w:r w:rsidRPr="00583009">
              <w:t>Punkt 7.2</w:t>
            </w:r>
          </w:p>
        </w:tc>
        <w:tc>
          <w:tcPr>
            <w:tcW w:w="4961" w:type="dxa"/>
          </w:tcPr>
          <w:p w:rsidR="00D73FC9" w:rsidRPr="00583009" w:rsidRDefault="00D73FC9" w:rsidP="0006668D">
            <w:r>
              <w:t>Begrensningene i leverandørens adgang til å overdra avtalen til andre (kravet om samtykke fra kunden) gjelder ikke i forbindelse med fusjon. Det er presisert at overdragelse uansett er betinget av at den nye leverandøren oppfyller kvalifikasjonskravene, at det ikke foretas vesentlige endringer i kontrakten og at det ikke representerer omgåelse av regelverket om offentlige anskaffelser. Retten til vederlag etter avtalen kan imidlertid fritt overdras.</w:t>
            </w:r>
          </w:p>
        </w:tc>
        <w:tc>
          <w:tcPr>
            <w:tcW w:w="5343" w:type="dxa"/>
          </w:tcPr>
          <w:p w:rsidR="00D73FC9" w:rsidRPr="0006668D" w:rsidRDefault="00D73FC9" w:rsidP="00285BA2"/>
        </w:tc>
      </w:tr>
      <w:tr w:rsidR="00D73FC9" w:rsidTr="00701EB6">
        <w:tc>
          <w:tcPr>
            <w:tcW w:w="2376" w:type="dxa"/>
          </w:tcPr>
          <w:p w:rsidR="00D73FC9" w:rsidRPr="00583009" w:rsidRDefault="00D73FC9" w:rsidP="00583009">
            <w:r w:rsidRPr="00583009">
              <w:t>Aktsomhet ved eksport</w:t>
            </w:r>
          </w:p>
        </w:tc>
        <w:tc>
          <w:tcPr>
            <w:tcW w:w="1418" w:type="dxa"/>
          </w:tcPr>
          <w:p w:rsidR="00D73FC9" w:rsidRPr="00583009" w:rsidRDefault="00D73FC9" w:rsidP="00583009">
            <w:r>
              <w:t>Tidligere punkt 7.4</w:t>
            </w:r>
          </w:p>
        </w:tc>
        <w:tc>
          <w:tcPr>
            <w:tcW w:w="4961" w:type="dxa"/>
          </w:tcPr>
          <w:p w:rsidR="00D73FC9" w:rsidRDefault="00D73FC9" w:rsidP="0082700A">
            <w:r w:rsidRPr="00583009">
              <w:t xml:space="preserve">Punktet </w:t>
            </w:r>
            <w:r>
              <w:t>er fjernet da det ansees lite aktuelt.</w:t>
            </w:r>
          </w:p>
        </w:tc>
        <w:tc>
          <w:tcPr>
            <w:tcW w:w="5343" w:type="dxa"/>
          </w:tcPr>
          <w:p w:rsidR="00D73FC9" w:rsidRDefault="00D73FC9" w:rsidP="00583009"/>
        </w:tc>
      </w:tr>
      <w:tr w:rsidR="00D73FC9" w:rsidTr="00701EB6">
        <w:tc>
          <w:tcPr>
            <w:tcW w:w="2376" w:type="dxa"/>
          </w:tcPr>
          <w:p w:rsidR="00D73FC9" w:rsidRPr="00583009" w:rsidRDefault="00D73FC9" w:rsidP="00583009">
            <w:r w:rsidRPr="00583009">
              <w:t>Force majeure</w:t>
            </w:r>
          </w:p>
        </w:tc>
        <w:tc>
          <w:tcPr>
            <w:tcW w:w="1418" w:type="dxa"/>
          </w:tcPr>
          <w:p w:rsidR="00D73FC9" w:rsidRDefault="00D73FC9" w:rsidP="00583009">
            <w:r w:rsidRPr="00583009">
              <w:t>Punkt 7.4</w:t>
            </w:r>
          </w:p>
        </w:tc>
        <w:tc>
          <w:tcPr>
            <w:tcW w:w="4961" w:type="dxa"/>
          </w:tcPr>
          <w:p w:rsidR="00D73FC9" w:rsidRPr="006E14CF" w:rsidRDefault="00D73FC9" w:rsidP="00583009">
            <w:pPr>
              <w:spacing w:after="200" w:line="276" w:lineRule="auto"/>
              <w:rPr>
                <w:highlight w:val="yellow"/>
              </w:rPr>
            </w:pPr>
            <w:r>
              <w:t xml:space="preserve">Hvis avtalen avsluttes som følge av </w:t>
            </w:r>
            <w:r w:rsidRPr="00AD545F">
              <w:rPr>
                <w:i/>
              </w:rPr>
              <w:t>force majeure</w:t>
            </w:r>
            <w:r>
              <w:t xml:space="preserve"> (som har vart mer enn 90 dager), dekker partene sine egne kostnader knyttet til avslutningen og leverandøren får betalt for det som er levert før avtalen ble avsluttet. Partene kan ikke rette andre krav mot hverandre som følge av avslutning på grunn av </w:t>
            </w:r>
            <w:r w:rsidRPr="00E82C7D">
              <w:rPr>
                <w:i/>
              </w:rPr>
              <w:t>force majeure</w:t>
            </w:r>
            <w:r>
              <w:t>.</w:t>
            </w:r>
          </w:p>
        </w:tc>
        <w:tc>
          <w:tcPr>
            <w:tcW w:w="5343" w:type="dxa"/>
          </w:tcPr>
          <w:p w:rsidR="00D73FC9" w:rsidRDefault="001E7F75" w:rsidP="00583009">
            <w:r>
              <w:t xml:space="preserve">Manglende oppfyllelse som følge av </w:t>
            </w:r>
            <w:r w:rsidRPr="00AD545F">
              <w:rPr>
                <w:i/>
              </w:rPr>
              <w:t>force majeure</w:t>
            </w:r>
            <w:r>
              <w:t xml:space="preserve"> er ikke mislighold. Endringen i punkt 13.4 er en refleks av dette.</w:t>
            </w:r>
          </w:p>
        </w:tc>
      </w:tr>
      <w:tr w:rsidR="00D73FC9" w:rsidTr="00701EB6">
        <w:tc>
          <w:tcPr>
            <w:tcW w:w="2376" w:type="dxa"/>
          </w:tcPr>
          <w:p w:rsidR="00D73FC9" w:rsidRPr="00583009" w:rsidRDefault="00D73FC9" w:rsidP="00583009">
            <w:r w:rsidRPr="00583009">
              <w:t>Doms- eller voldgiftsbehandling</w:t>
            </w:r>
          </w:p>
        </w:tc>
        <w:tc>
          <w:tcPr>
            <w:tcW w:w="1418" w:type="dxa"/>
          </w:tcPr>
          <w:p w:rsidR="00D73FC9" w:rsidRPr="00583009" w:rsidRDefault="00D73FC9" w:rsidP="00583009">
            <w:r w:rsidRPr="00583009">
              <w:t>Punkt 8.3</w:t>
            </w:r>
          </w:p>
        </w:tc>
        <w:tc>
          <w:tcPr>
            <w:tcW w:w="4961" w:type="dxa"/>
          </w:tcPr>
          <w:p w:rsidR="00D73FC9" w:rsidRPr="00583009" w:rsidRDefault="00D73FC9" w:rsidP="0082700A">
            <w:r>
              <w:t>Det er m</w:t>
            </w:r>
            <w:r w:rsidRPr="00583009">
              <w:t>indre språkendringer</w:t>
            </w:r>
            <w:r>
              <w:t xml:space="preserve"> i bestemmelsene om d</w:t>
            </w:r>
            <w:r w:rsidRPr="00583009">
              <w:t>oms- eller voldgiftsbehandling</w:t>
            </w:r>
            <w:r>
              <w:t>.</w:t>
            </w:r>
          </w:p>
        </w:tc>
        <w:tc>
          <w:tcPr>
            <w:tcW w:w="5343" w:type="dxa"/>
          </w:tcPr>
          <w:p w:rsidR="00D73FC9" w:rsidRDefault="00D73FC9" w:rsidP="00583009"/>
        </w:tc>
      </w:tr>
    </w:tbl>
    <w:p w:rsidR="00701EB6" w:rsidRDefault="00701EB6"/>
    <w:sectPr w:rsidR="00701EB6" w:rsidSect="00701EB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CB" w:rsidRDefault="00EC0BCB" w:rsidP="00EC0BCB">
      <w:pPr>
        <w:spacing w:after="0" w:line="240" w:lineRule="auto"/>
      </w:pPr>
      <w:r>
        <w:separator/>
      </w:r>
    </w:p>
  </w:endnote>
  <w:endnote w:type="continuationSeparator" w:id="0">
    <w:p w:rsidR="00EC0BCB" w:rsidRDefault="00EC0BCB" w:rsidP="00EC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CF" w:rsidRDefault="004D47CF">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CB" w:rsidRPr="007A621B" w:rsidRDefault="007A621B" w:rsidP="007A621B">
    <w:pPr>
      <w:pStyle w:val="Bunntekst"/>
      <w:ind w:right="-709"/>
      <w:jc w:val="right"/>
      <w:rPr>
        <w:caps/>
        <w:sz w:val="12"/>
      </w:rPr>
    </w:pPr>
    <w:r>
      <w:rPr>
        <w:caps/>
        <w:sz w:val="12"/>
      </w:rPr>
      <w:t xml:space="preserve">L_7121383_v1  </w:t>
    </w:r>
    <w:bookmarkStart w:id="1" w:name="bunndato"/>
    <w:r>
      <w:rPr>
        <w:caps/>
        <w:sz w:val="12"/>
      </w:rPr>
      <w:t>25.01.16</w:t>
    </w:r>
    <w:bookmarkEnd w:id="1"/>
    <w:r>
      <w:rPr>
        <w:caps/>
        <w:sz w:val="12"/>
      </w:rPr>
      <w:t xml:space="preserve">  508535-032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CF" w:rsidRDefault="004D47C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CB" w:rsidRDefault="00EC0BCB" w:rsidP="00EC0BCB">
      <w:pPr>
        <w:spacing w:after="0" w:line="240" w:lineRule="auto"/>
      </w:pPr>
      <w:r>
        <w:separator/>
      </w:r>
    </w:p>
  </w:footnote>
  <w:footnote w:type="continuationSeparator" w:id="0">
    <w:p w:rsidR="00EC0BCB" w:rsidRDefault="00EC0BCB" w:rsidP="00EC0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CF" w:rsidRDefault="004D47CF">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CF" w:rsidRDefault="004D47CF">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CF" w:rsidRDefault="004D47C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58D2"/>
    <w:multiLevelType w:val="hybridMultilevel"/>
    <w:tmpl w:val="82BCDA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DAF6A46"/>
    <w:multiLevelType w:val="hybridMultilevel"/>
    <w:tmpl w:val="A7DC262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9DA1F3A"/>
    <w:multiLevelType w:val="hybridMultilevel"/>
    <w:tmpl w:val="4920CA4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8BB3B41"/>
    <w:multiLevelType w:val="hybridMultilevel"/>
    <w:tmpl w:val="9202DE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59CF2351"/>
    <w:multiLevelType w:val="hybridMultilevel"/>
    <w:tmpl w:val="AD5E6E2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5" w15:restartNumberingAfterBreak="0">
    <w:nsid w:val="5EC279EA"/>
    <w:multiLevelType w:val="hybridMultilevel"/>
    <w:tmpl w:val="C60073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676B2FF3"/>
    <w:multiLevelType w:val="hybridMultilevel"/>
    <w:tmpl w:val="5130EE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E8230DF"/>
    <w:multiLevelType w:val="hybridMultilevel"/>
    <w:tmpl w:val="3F16BB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B6"/>
    <w:rsid w:val="00005E21"/>
    <w:rsid w:val="00014674"/>
    <w:rsid w:val="00023C0C"/>
    <w:rsid w:val="00061125"/>
    <w:rsid w:val="0006668D"/>
    <w:rsid w:val="00083282"/>
    <w:rsid w:val="00090934"/>
    <w:rsid w:val="000C18EC"/>
    <w:rsid w:val="000C235F"/>
    <w:rsid w:val="000C2CF1"/>
    <w:rsid w:val="000C37BA"/>
    <w:rsid w:val="000C4C2C"/>
    <w:rsid w:val="000D2F6E"/>
    <w:rsid w:val="000E0C02"/>
    <w:rsid w:val="000F1B8E"/>
    <w:rsid w:val="00105DEC"/>
    <w:rsid w:val="00112472"/>
    <w:rsid w:val="0015393A"/>
    <w:rsid w:val="00161202"/>
    <w:rsid w:val="00172B45"/>
    <w:rsid w:val="001778D7"/>
    <w:rsid w:val="00177FC7"/>
    <w:rsid w:val="00182FD4"/>
    <w:rsid w:val="001976BB"/>
    <w:rsid w:val="001A7B93"/>
    <w:rsid w:val="001B5577"/>
    <w:rsid w:val="001C1B1E"/>
    <w:rsid w:val="001D415C"/>
    <w:rsid w:val="001E04C9"/>
    <w:rsid w:val="001E22BD"/>
    <w:rsid w:val="001E7F75"/>
    <w:rsid w:val="00204683"/>
    <w:rsid w:val="00221318"/>
    <w:rsid w:val="00221AC3"/>
    <w:rsid w:val="00227262"/>
    <w:rsid w:val="00245201"/>
    <w:rsid w:val="002729BF"/>
    <w:rsid w:val="00282263"/>
    <w:rsid w:val="00285BA2"/>
    <w:rsid w:val="00287F17"/>
    <w:rsid w:val="002A0CB2"/>
    <w:rsid w:val="002A165F"/>
    <w:rsid w:val="002A39F0"/>
    <w:rsid w:val="002A4583"/>
    <w:rsid w:val="002C147B"/>
    <w:rsid w:val="002D03B0"/>
    <w:rsid w:val="002E0759"/>
    <w:rsid w:val="002F6683"/>
    <w:rsid w:val="002F74B3"/>
    <w:rsid w:val="00314770"/>
    <w:rsid w:val="003211A3"/>
    <w:rsid w:val="0032253C"/>
    <w:rsid w:val="00336A76"/>
    <w:rsid w:val="003564AD"/>
    <w:rsid w:val="003627A0"/>
    <w:rsid w:val="003643D2"/>
    <w:rsid w:val="00373D90"/>
    <w:rsid w:val="003818EA"/>
    <w:rsid w:val="003856F8"/>
    <w:rsid w:val="003858A8"/>
    <w:rsid w:val="003A3591"/>
    <w:rsid w:val="003C15CD"/>
    <w:rsid w:val="003C75B2"/>
    <w:rsid w:val="003D740E"/>
    <w:rsid w:val="003D7773"/>
    <w:rsid w:val="003F30FE"/>
    <w:rsid w:val="003F73B5"/>
    <w:rsid w:val="00416CDB"/>
    <w:rsid w:val="00417327"/>
    <w:rsid w:val="00421935"/>
    <w:rsid w:val="00433CAA"/>
    <w:rsid w:val="00434FA0"/>
    <w:rsid w:val="00456A3F"/>
    <w:rsid w:val="00475057"/>
    <w:rsid w:val="00491059"/>
    <w:rsid w:val="00497BB0"/>
    <w:rsid w:val="004A2517"/>
    <w:rsid w:val="004B0E04"/>
    <w:rsid w:val="004C1235"/>
    <w:rsid w:val="004C260F"/>
    <w:rsid w:val="004C309E"/>
    <w:rsid w:val="004D4174"/>
    <w:rsid w:val="004D47CF"/>
    <w:rsid w:val="004D5C5B"/>
    <w:rsid w:val="005039F8"/>
    <w:rsid w:val="005114EC"/>
    <w:rsid w:val="00535208"/>
    <w:rsid w:val="00536321"/>
    <w:rsid w:val="0054081E"/>
    <w:rsid w:val="00540AB5"/>
    <w:rsid w:val="00541FC1"/>
    <w:rsid w:val="0055286B"/>
    <w:rsid w:val="0055716F"/>
    <w:rsid w:val="00563EC2"/>
    <w:rsid w:val="00573F3F"/>
    <w:rsid w:val="0057420A"/>
    <w:rsid w:val="00577312"/>
    <w:rsid w:val="00583009"/>
    <w:rsid w:val="005B3419"/>
    <w:rsid w:val="005D6959"/>
    <w:rsid w:val="005F7C8E"/>
    <w:rsid w:val="00600DD7"/>
    <w:rsid w:val="0061256B"/>
    <w:rsid w:val="00623D0F"/>
    <w:rsid w:val="006247AD"/>
    <w:rsid w:val="006421D4"/>
    <w:rsid w:val="006462B1"/>
    <w:rsid w:val="0066016F"/>
    <w:rsid w:val="006637E6"/>
    <w:rsid w:val="00664ED7"/>
    <w:rsid w:val="006774A8"/>
    <w:rsid w:val="00681EC8"/>
    <w:rsid w:val="00697006"/>
    <w:rsid w:val="006B1CF8"/>
    <w:rsid w:val="006B4E09"/>
    <w:rsid w:val="006B61CA"/>
    <w:rsid w:val="006C1698"/>
    <w:rsid w:val="006E14CF"/>
    <w:rsid w:val="006E2F3B"/>
    <w:rsid w:val="006E35C1"/>
    <w:rsid w:val="00701EB6"/>
    <w:rsid w:val="007071BE"/>
    <w:rsid w:val="00717E11"/>
    <w:rsid w:val="00725F40"/>
    <w:rsid w:val="0073487E"/>
    <w:rsid w:val="00742F94"/>
    <w:rsid w:val="00750D81"/>
    <w:rsid w:val="00780B58"/>
    <w:rsid w:val="00782D47"/>
    <w:rsid w:val="007A26A6"/>
    <w:rsid w:val="007A621B"/>
    <w:rsid w:val="007C6B15"/>
    <w:rsid w:val="00801121"/>
    <w:rsid w:val="008037E9"/>
    <w:rsid w:val="00810A13"/>
    <w:rsid w:val="008254F7"/>
    <w:rsid w:val="0082700A"/>
    <w:rsid w:val="008450E0"/>
    <w:rsid w:val="00895ED0"/>
    <w:rsid w:val="008E145D"/>
    <w:rsid w:val="008F1CFC"/>
    <w:rsid w:val="008F5AF4"/>
    <w:rsid w:val="00906990"/>
    <w:rsid w:val="00907355"/>
    <w:rsid w:val="009138AC"/>
    <w:rsid w:val="0091756B"/>
    <w:rsid w:val="00926E65"/>
    <w:rsid w:val="00934651"/>
    <w:rsid w:val="00935632"/>
    <w:rsid w:val="00943E72"/>
    <w:rsid w:val="00954365"/>
    <w:rsid w:val="009939B3"/>
    <w:rsid w:val="009A6278"/>
    <w:rsid w:val="009B7B81"/>
    <w:rsid w:val="009C5073"/>
    <w:rsid w:val="009D5BF4"/>
    <w:rsid w:val="009E73C1"/>
    <w:rsid w:val="009F42F9"/>
    <w:rsid w:val="00A0001A"/>
    <w:rsid w:val="00A0016F"/>
    <w:rsid w:val="00A11F6D"/>
    <w:rsid w:val="00A155F0"/>
    <w:rsid w:val="00A245FB"/>
    <w:rsid w:val="00A3150D"/>
    <w:rsid w:val="00A3251A"/>
    <w:rsid w:val="00A4364C"/>
    <w:rsid w:val="00A45968"/>
    <w:rsid w:val="00A4745F"/>
    <w:rsid w:val="00A65D32"/>
    <w:rsid w:val="00A912E4"/>
    <w:rsid w:val="00AA1A1C"/>
    <w:rsid w:val="00AA443B"/>
    <w:rsid w:val="00AB28E7"/>
    <w:rsid w:val="00AC6E28"/>
    <w:rsid w:val="00AE1045"/>
    <w:rsid w:val="00AE2A6F"/>
    <w:rsid w:val="00B05C9E"/>
    <w:rsid w:val="00B06719"/>
    <w:rsid w:val="00B228C1"/>
    <w:rsid w:val="00B45DA7"/>
    <w:rsid w:val="00B47DE7"/>
    <w:rsid w:val="00B85EF8"/>
    <w:rsid w:val="00B97D62"/>
    <w:rsid w:val="00BB3D3E"/>
    <w:rsid w:val="00BC1325"/>
    <w:rsid w:val="00BC7FD5"/>
    <w:rsid w:val="00BD222C"/>
    <w:rsid w:val="00BD36FD"/>
    <w:rsid w:val="00BD67FF"/>
    <w:rsid w:val="00BE3EDC"/>
    <w:rsid w:val="00C00892"/>
    <w:rsid w:val="00C02D95"/>
    <w:rsid w:val="00C03540"/>
    <w:rsid w:val="00C044C8"/>
    <w:rsid w:val="00C27B29"/>
    <w:rsid w:val="00C43332"/>
    <w:rsid w:val="00C5574C"/>
    <w:rsid w:val="00C60085"/>
    <w:rsid w:val="00C9655C"/>
    <w:rsid w:val="00CA58EC"/>
    <w:rsid w:val="00CB51FA"/>
    <w:rsid w:val="00CD1D44"/>
    <w:rsid w:val="00CE07C5"/>
    <w:rsid w:val="00CE64FA"/>
    <w:rsid w:val="00CE66A1"/>
    <w:rsid w:val="00CE770F"/>
    <w:rsid w:val="00D05793"/>
    <w:rsid w:val="00D16240"/>
    <w:rsid w:val="00D16F0B"/>
    <w:rsid w:val="00D346DC"/>
    <w:rsid w:val="00D430E9"/>
    <w:rsid w:val="00D5242E"/>
    <w:rsid w:val="00D555C2"/>
    <w:rsid w:val="00D73FC9"/>
    <w:rsid w:val="00D818E9"/>
    <w:rsid w:val="00D93C59"/>
    <w:rsid w:val="00DA07D3"/>
    <w:rsid w:val="00DA3946"/>
    <w:rsid w:val="00DC394B"/>
    <w:rsid w:val="00DC6372"/>
    <w:rsid w:val="00DD71DC"/>
    <w:rsid w:val="00DF140C"/>
    <w:rsid w:val="00E27EF1"/>
    <w:rsid w:val="00E70AD7"/>
    <w:rsid w:val="00E74A15"/>
    <w:rsid w:val="00E74DC6"/>
    <w:rsid w:val="00E75C72"/>
    <w:rsid w:val="00E86CCF"/>
    <w:rsid w:val="00E97285"/>
    <w:rsid w:val="00EA6D72"/>
    <w:rsid w:val="00EC0BCB"/>
    <w:rsid w:val="00ED21CF"/>
    <w:rsid w:val="00EE3368"/>
    <w:rsid w:val="00F14C09"/>
    <w:rsid w:val="00F327EE"/>
    <w:rsid w:val="00F3327A"/>
    <w:rsid w:val="00F34754"/>
    <w:rsid w:val="00F52802"/>
    <w:rsid w:val="00F75E02"/>
    <w:rsid w:val="00F96C63"/>
    <w:rsid w:val="00FA559E"/>
    <w:rsid w:val="00FB3731"/>
    <w:rsid w:val="00FB6D7A"/>
    <w:rsid w:val="00FE1D0B"/>
    <w:rsid w:val="00FE648D"/>
    <w:rsid w:val="00FE7EB8"/>
    <w:rsid w:val="00FF24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0E1BF0-BBAE-41B4-BF62-3C7A7E98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0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01EB6"/>
    <w:pPr>
      <w:ind w:left="720"/>
      <w:contextualSpacing/>
    </w:pPr>
  </w:style>
  <w:style w:type="paragraph" w:styleId="Topptekst">
    <w:name w:val="header"/>
    <w:basedOn w:val="Normal"/>
    <w:link w:val="TopptekstTegn"/>
    <w:uiPriority w:val="99"/>
    <w:unhideWhenUsed/>
    <w:rsid w:val="00EC0BC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C0BCB"/>
  </w:style>
  <w:style w:type="paragraph" w:styleId="Bunntekst">
    <w:name w:val="footer"/>
    <w:basedOn w:val="Normal"/>
    <w:link w:val="BunntekstTegn"/>
    <w:uiPriority w:val="99"/>
    <w:unhideWhenUsed/>
    <w:rsid w:val="00EC0BC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C0BCB"/>
  </w:style>
  <w:style w:type="paragraph" w:styleId="Bobletekst">
    <w:name w:val="Balloon Text"/>
    <w:basedOn w:val="Normal"/>
    <w:link w:val="BobletekstTegn"/>
    <w:uiPriority w:val="99"/>
    <w:semiHidden/>
    <w:unhideWhenUsed/>
    <w:rsid w:val="006B1CF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B1CF8"/>
    <w:rPr>
      <w:rFonts w:ascii="Tahoma" w:hAnsi="Tahoma" w:cs="Tahoma"/>
      <w:sz w:val="16"/>
      <w:szCs w:val="16"/>
    </w:rPr>
  </w:style>
  <w:style w:type="character" w:styleId="Merknadsreferanse">
    <w:name w:val="annotation reference"/>
    <w:basedOn w:val="Standardskriftforavsnitt"/>
    <w:uiPriority w:val="99"/>
    <w:semiHidden/>
    <w:unhideWhenUsed/>
    <w:rsid w:val="00105DEC"/>
    <w:rPr>
      <w:sz w:val="16"/>
      <w:szCs w:val="16"/>
    </w:rPr>
  </w:style>
  <w:style w:type="paragraph" w:styleId="Merknadstekst">
    <w:name w:val="annotation text"/>
    <w:basedOn w:val="Normal"/>
    <w:link w:val="MerknadstekstTegn"/>
    <w:uiPriority w:val="99"/>
    <w:semiHidden/>
    <w:unhideWhenUsed/>
    <w:rsid w:val="00105DE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05DEC"/>
    <w:rPr>
      <w:sz w:val="20"/>
      <w:szCs w:val="20"/>
    </w:rPr>
  </w:style>
  <w:style w:type="paragraph" w:styleId="Kommentaremne">
    <w:name w:val="annotation subject"/>
    <w:basedOn w:val="Merknadstekst"/>
    <w:next w:val="Merknadstekst"/>
    <w:link w:val="KommentaremneTegn"/>
    <w:uiPriority w:val="99"/>
    <w:semiHidden/>
    <w:unhideWhenUsed/>
    <w:rsid w:val="00105DEC"/>
    <w:rPr>
      <w:b/>
      <w:bCs/>
    </w:rPr>
  </w:style>
  <w:style w:type="character" w:customStyle="1" w:styleId="KommentaremneTegn">
    <w:name w:val="Kommentaremne Tegn"/>
    <w:basedOn w:val="MerknadstekstTegn"/>
    <w:link w:val="Kommentaremne"/>
    <w:uiPriority w:val="99"/>
    <w:semiHidden/>
    <w:rsid w:val="00105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5837">
      <w:bodyDiv w:val="1"/>
      <w:marLeft w:val="0"/>
      <w:marRight w:val="0"/>
      <w:marTop w:val="0"/>
      <w:marBottom w:val="0"/>
      <w:divBdr>
        <w:top w:val="none" w:sz="0" w:space="0" w:color="auto"/>
        <w:left w:val="none" w:sz="0" w:space="0" w:color="auto"/>
        <w:bottom w:val="none" w:sz="0" w:space="0" w:color="auto"/>
        <w:right w:val="none" w:sz="0" w:space="0" w:color="auto"/>
      </w:divBdr>
    </w:div>
    <w:div w:id="507988400">
      <w:bodyDiv w:val="1"/>
      <w:marLeft w:val="0"/>
      <w:marRight w:val="0"/>
      <w:marTop w:val="0"/>
      <w:marBottom w:val="0"/>
      <w:divBdr>
        <w:top w:val="none" w:sz="0" w:space="0" w:color="auto"/>
        <w:left w:val="none" w:sz="0" w:space="0" w:color="auto"/>
        <w:bottom w:val="none" w:sz="0" w:space="0" w:color="auto"/>
        <w:right w:val="none" w:sz="0" w:space="0" w:color="auto"/>
      </w:divBdr>
    </w:div>
    <w:div w:id="818963780">
      <w:bodyDiv w:val="1"/>
      <w:marLeft w:val="0"/>
      <w:marRight w:val="0"/>
      <w:marTop w:val="0"/>
      <w:marBottom w:val="0"/>
      <w:divBdr>
        <w:top w:val="none" w:sz="0" w:space="0" w:color="auto"/>
        <w:left w:val="none" w:sz="0" w:space="0" w:color="auto"/>
        <w:bottom w:val="none" w:sz="0" w:space="0" w:color="auto"/>
        <w:right w:val="none" w:sz="0" w:space="0" w:color="auto"/>
      </w:divBdr>
    </w:div>
    <w:div w:id="1088500773">
      <w:bodyDiv w:val="1"/>
      <w:marLeft w:val="0"/>
      <w:marRight w:val="0"/>
      <w:marTop w:val="0"/>
      <w:marBottom w:val="0"/>
      <w:divBdr>
        <w:top w:val="none" w:sz="0" w:space="0" w:color="auto"/>
        <w:left w:val="none" w:sz="0" w:space="0" w:color="auto"/>
        <w:bottom w:val="none" w:sz="0" w:space="0" w:color="auto"/>
        <w:right w:val="none" w:sz="0" w:space="0" w:color="auto"/>
      </w:divBdr>
    </w:div>
    <w:div w:id="1103888960">
      <w:bodyDiv w:val="1"/>
      <w:marLeft w:val="0"/>
      <w:marRight w:val="0"/>
      <w:marTop w:val="0"/>
      <w:marBottom w:val="0"/>
      <w:divBdr>
        <w:top w:val="none" w:sz="0" w:space="0" w:color="auto"/>
        <w:left w:val="none" w:sz="0" w:space="0" w:color="auto"/>
        <w:bottom w:val="none" w:sz="0" w:space="0" w:color="auto"/>
        <w:right w:val="none" w:sz="0" w:space="0" w:color="auto"/>
      </w:divBdr>
    </w:div>
    <w:div w:id="1822117864">
      <w:bodyDiv w:val="1"/>
      <w:marLeft w:val="0"/>
      <w:marRight w:val="0"/>
      <w:marTop w:val="0"/>
      <w:marBottom w:val="0"/>
      <w:divBdr>
        <w:top w:val="none" w:sz="0" w:space="0" w:color="auto"/>
        <w:left w:val="none" w:sz="0" w:space="0" w:color="auto"/>
        <w:bottom w:val="none" w:sz="0" w:space="0" w:color="auto"/>
        <w:right w:val="none" w:sz="0" w:space="0" w:color="auto"/>
      </w:divBdr>
    </w:div>
    <w:div w:id="2026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13509</Characters>
  <Application>Microsoft Office Word</Application>
  <DocSecurity>4</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Benkow, Mari</dc:creator>
  <cp:lastModifiedBy>Benkow, Mari</cp:lastModifiedBy>
  <cp:revision>2</cp:revision>
  <dcterms:created xsi:type="dcterms:W3CDTF">2016-01-26T12:03:00Z</dcterms:created>
  <dcterms:modified xsi:type="dcterms:W3CDTF">2016-01-26T12:03:00Z</dcterms:modified>
</cp:coreProperties>
</file>