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21" w:rsidRDefault="00D57DCC">
      <w:bookmarkStart w:id="0" w:name="_GoBack"/>
      <w:bookmarkEnd w:id="0"/>
      <w:r w:rsidRPr="00D13C3E">
        <w:rPr>
          <w:b/>
        </w:rPr>
        <w:t>Oversikt over endrede og/eller nye bestemmelser i SSA-</w:t>
      </w:r>
      <w:r>
        <w:rPr>
          <w:b/>
        </w:rPr>
        <w:t>T</w:t>
      </w:r>
      <w:r w:rsidRPr="00D13C3E">
        <w:rPr>
          <w:b/>
        </w:rPr>
        <w:t xml:space="preserve"> 2015</w:t>
      </w:r>
    </w:p>
    <w:tbl>
      <w:tblPr>
        <w:tblStyle w:val="Tabellrutenett"/>
        <w:tblW w:w="0" w:type="auto"/>
        <w:tblLook w:val="04A0" w:firstRow="1" w:lastRow="0" w:firstColumn="1" w:lastColumn="0" w:noHBand="0" w:noVBand="1"/>
      </w:tblPr>
      <w:tblGrid>
        <w:gridCol w:w="2376"/>
        <w:gridCol w:w="1418"/>
        <w:gridCol w:w="4961"/>
        <w:gridCol w:w="5343"/>
      </w:tblGrid>
      <w:tr w:rsidR="00701EB6" w:rsidRPr="00701EB6" w:rsidTr="00701EB6">
        <w:tc>
          <w:tcPr>
            <w:tcW w:w="2376" w:type="dxa"/>
          </w:tcPr>
          <w:p w:rsidR="00701EB6" w:rsidRPr="00701EB6" w:rsidRDefault="00701EB6">
            <w:pPr>
              <w:rPr>
                <w:b/>
              </w:rPr>
            </w:pPr>
            <w:r w:rsidRPr="00701EB6">
              <w:rPr>
                <w:b/>
              </w:rPr>
              <w:t>Stikkord</w:t>
            </w:r>
          </w:p>
        </w:tc>
        <w:tc>
          <w:tcPr>
            <w:tcW w:w="1418" w:type="dxa"/>
          </w:tcPr>
          <w:p w:rsidR="00701EB6" w:rsidRPr="00701EB6" w:rsidRDefault="00701EB6">
            <w:pPr>
              <w:rPr>
                <w:b/>
              </w:rPr>
            </w:pPr>
            <w:r w:rsidRPr="00701EB6">
              <w:rPr>
                <w:b/>
              </w:rPr>
              <w:t>Referanse</w:t>
            </w:r>
          </w:p>
        </w:tc>
        <w:tc>
          <w:tcPr>
            <w:tcW w:w="4961" w:type="dxa"/>
          </w:tcPr>
          <w:p w:rsidR="00701EB6" w:rsidRPr="00701EB6" w:rsidRDefault="00701EB6">
            <w:pPr>
              <w:rPr>
                <w:b/>
              </w:rPr>
            </w:pPr>
            <w:r w:rsidRPr="00701EB6">
              <w:rPr>
                <w:b/>
              </w:rPr>
              <w:t>Endringens art</w:t>
            </w:r>
          </w:p>
        </w:tc>
        <w:tc>
          <w:tcPr>
            <w:tcW w:w="5343" w:type="dxa"/>
          </w:tcPr>
          <w:p w:rsidR="00701EB6" w:rsidRPr="00701EB6" w:rsidRDefault="00701EB6">
            <w:pPr>
              <w:rPr>
                <w:b/>
              </w:rPr>
            </w:pPr>
            <w:r w:rsidRPr="00701EB6">
              <w:rPr>
                <w:b/>
              </w:rPr>
              <w:t>Kommentarer</w:t>
            </w:r>
          </w:p>
        </w:tc>
      </w:tr>
      <w:tr w:rsidR="00701EB6" w:rsidTr="00701EB6">
        <w:tc>
          <w:tcPr>
            <w:tcW w:w="2376" w:type="dxa"/>
          </w:tcPr>
          <w:p w:rsidR="00701EB6" w:rsidRDefault="00701EB6"/>
        </w:tc>
        <w:tc>
          <w:tcPr>
            <w:tcW w:w="1418" w:type="dxa"/>
          </w:tcPr>
          <w:p w:rsidR="00701EB6" w:rsidRDefault="00F34754">
            <w:r>
              <w:t>SSA-T</w:t>
            </w:r>
          </w:p>
        </w:tc>
        <w:tc>
          <w:tcPr>
            <w:tcW w:w="4961" w:type="dxa"/>
          </w:tcPr>
          <w:p w:rsidR="00701EB6" w:rsidRDefault="00701EB6"/>
        </w:tc>
        <w:tc>
          <w:tcPr>
            <w:tcW w:w="5343" w:type="dxa"/>
          </w:tcPr>
          <w:p w:rsidR="00701EB6" w:rsidRDefault="00701EB6"/>
        </w:tc>
      </w:tr>
      <w:tr w:rsidR="00782D47" w:rsidTr="00701EB6">
        <w:tc>
          <w:tcPr>
            <w:tcW w:w="2376" w:type="dxa"/>
          </w:tcPr>
          <w:p w:rsidR="00782D47" w:rsidRDefault="00F34754">
            <w:r>
              <w:t>Bruksområde</w:t>
            </w:r>
          </w:p>
        </w:tc>
        <w:tc>
          <w:tcPr>
            <w:tcW w:w="1418" w:type="dxa"/>
          </w:tcPr>
          <w:p w:rsidR="00782D47" w:rsidRDefault="00F34754">
            <w:r>
              <w:t>1.1</w:t>
            </w:r>
          </w:p>
        </w:tc>
        <w:tc>
          <w:tcPr>
            <w:tcW w:w="4961" w:type="dxa"/>
          </w:tcPr>
          <w:p w:rsidR="00782D47" w:rsidRDefault="00F34754" w:rsidP="007E3ED8">
            <w:r>
              <w:t>Avtalens bruksområde er utvidet og presisert til å dekke levering av it-løsninger inkludert nødvendig programvareutvikling.</w:t>
            </w:r>
          </w:p>
        </w:tc>
        <w:tc>
          <w:tcPr>
            <w:tcW w:w="5343" w:type="dxa"/>
          </w:tcPr>
          <w:p w:rsidR="00782D47" w:rsidRDefault="00F34754" w:rsidP="00D739BB">
            <w:r>
              <w:t>Avtalen dekker nå også området for den tidligere SSA-U. Forskjellen mellom de to avtalene var liten, og de er nå slått sammen til én.</w:t>
            </w:r>
            <w:r w:rsidR="00A236FC">
              <w:t xml:space="preserve"> Avtalen er ment å være tilstrekkelig fleksibel til å dekke både levering av it-løsninger som "settes opp" for kunden basert på programvarens standardfunksjoner, eventuelt i kombinasjonen med annen programvare, og leveranser som inneholder større eller mindre elementer av </w:t>
            </w:r>
            <w:r w:rsidR="00712F0C">
              <w:t xml:space="preserve">tilpasning eller </w:t>
            </w:r>
            <w:r w:rsidR="00A236FC">
              <w:t xml:space="preserve">spesialutvikling for kunden. Det er ingen øvre grense for hvor stor del av leveransen som kan leveres som spesialutvikling, men for leveranser der hovedytelsen er utvikling, og leveransen </w:t>
            </w:r>
            <w:r w:rsidR="00D739BB">
              <w:t xml:space="preserve">bare i begrenset grad er </w:t>
            </w:r>
            <w:r w:rsidR="00A236FC">
              <w:t>spesifisert på forhånd, bør oppdragsgiver vurdere om SSA-S kan være mer egnet.</w:t>
            </w:r>
          </w:p>
        </w:tc>
      </w:tr>
      <w:tr w:rsidR="0099562B" w:rsidTr="00701EB6">
        <w:tc>
          <w:tcPr>
            <w:tcW w:w="2376" w:type="dxa"/>
          </w:tcPr>
          <w:p w:rsidR="0099562B" w:rsidRDefault="0099562B" w:rsidP="0099562B">
            <w:r>
              <w:t>Kontraktens faser og hovedmilepæler</w:t>
            </w:r>
          </w:p>
        </w:tc>
        <w:tc>
          <w:tcPr>
            <w:tcW w:w="1418" w:type="dxa"/>
          </w:tcPr>
          <w:p w:rsidR="0099562B" w:rsidRDefault="0099562B" w:rsidP="00020CC5">
            <w:r>
              <w:t>1.</w:t>
            </w:r>
            <w:r w:rsidR="00020CC5">
              <w:t>5</w:t>
            </w:r>
          </w:p>
        </w:tc>
        <w:tc>
          <w:tcPr>
            <w:tcW w:w="4961" w:type="dxa"/>
          </w:tcPr>
          <w:p w:rsidR="007F6D2A" w:rsidRDefault="0099562B" w:rsidP="007C6B15">
            <w:r>
              <w:t xml:space="preserve">Avtalen er delt inn i fem faser: </w:t>
            </w:r>
          </w:p>
          <w:p w:rsidR="007F6D2A" w:rsidRDefault="0099562B" w:rsidP="00BB44D9">
            <w:pPr>
              <w:pStyle w:val="Listeavsnitt"/>
              <w:numPr>
                <w:ilvl w:val="0"/>
                <w:numId w:val="3"/>
              </w:numPr>
              <w:ind w:left="584" w:hanging="357"/>
            </w:pPr>
            <w:r>
              <w:t xml:space="preserve">forberedelsesfasen (kapittel 2.1), </w:t>
            </w:r>
          </w:p>
          <w:p w:rsidR="007F6D2A" w:rsidRDefault="0099562B" w:rsidP="00BB44D9">
            <w:pPr>
              <w:pStyle w:val="Listeavsnitt"/>
              <w:numPr>
                <w:ilvl w:val="0"/>
                <w:numId w:val="3"/>
              </w:numPr>
              <w:ind w:left="584" w:hanging="357"/>
            </w:pPr>
            <w:r>
              <w:t xml:space="preserve">spesifiseringsfasen (kapittel 2.2), </w:t>
            </w:r>
          </w:p>
          <w:p w:rsidR="007F6D2A" w:rsidRDefault="0099562B" w:rsidP="00BB44D9">
            <w:pPr>
              <w:pStyle w:val="Listeavsnitt"/>
              <w:numPr>
                <w:ilvl w:val="0"/>
                <w:numId w:val="3"/>
              </w:numPr>
              <w:ind w:left="584" w:hanging="357"/>
            </w:pPr>
            <w:r>
              <w:t xml:space="preserve">utviklingsfasen (kapittel 2.3), </w:t>
            </w:r>
          </w:p>
          <w:p w:rsidR="007F6D2A" w:rsidRDefault="0099562B" w:rsidP="00BB44D9">
            <w:pPr>
              <w:pStyle w:val="Listeavsnitt"/>
              <w:numPr>
                <w:ilvl w:val="0"/>
                <w:numId w:val="3"/>
              </w:numPr>
              <w:ind w:left="584" w:hanging="357"/>
            </w:pPr>
            <w:r>
              <w:t>akseptansetestfasen (kapittel 2.4) og godkjenningsperioden (kapittel 2.5).</w:t>
            </w:r>
          </w:p>
          <w:p w:rsidR="0099562B" w:rsidRDefault="0099562B" w:rsidP="007C6B15">
            <w:r>
              <w:t>Spesifiserings- og utviklingsfasen, akseptansetesten og godkjenningsperioden kan gjentas så mange ganger det er nødvendig for å realisere leveransen, se punkt 2.1.4 (Delleveranser).</w:t>
            </w:r>
          </w:p>
          <w:p w:rsidR="0099562B" w:rsidRDefault="0099562B" w:rsidP="007C6B15"/>
          <w:p w:rsidR="0099562B" w:rsidRDefault="0099562B" w:rsidP="0099562B">
            <w:r>
              <w:t>Kontraktens hovedmilepæler er:</w:t>
            </w:r>
          </w:p>
          <w:p w:rsidR="0099562B" w:rsidRDefault="0099562B" w:rsidP="00BB44D9">
            <w:pPr>
              <w:widowControl w:val="0"/>
              <w:numPr>
                <w:ilvl w:val="0"/>
                <w:numId w:val="2"/>
              </w:numPr>
              <w:autoSpaceDE w:val="0"/>
              <w:autoSpaceDN w:val="0"/>
              <w:adjustRightInd w:val="0"/>
              <w:ind w:left="584" w:hanging="357"/>
            </w:pPr>
            <w:r>
              <w:t>Godkjenning av detaljspesifikasjon (2.2.2)</w:t>
            </w:r>
          </w:p>
          <w:p w:rsidR="0099562B" w:rsidRDefault="0099562B" w:rsidP="00BB44D9">
            <w:pPr>
              <w:widowControl w:val="0"/>
              <w:numPr>
                <w:ilvl w:val="0"/>
                <w:numId w:val="2"/>
              </w:numPr>
              <w:autoSpaceDE w:val="0"/>
              <w:autoSpaceDN w:val="0"/>
              <w:adjustRightInd w:val="0"/>
              <w:ind w:left="584" w:hanging="357"/>
            </w:pPr>
            <w:r>
              <w:t>Løsning klar for akseptansetest (2.4.2)</w:t>
            </w:r>
          </w:p>
          <w:p w:rsidR="0099562B" w:rsidRDefault="0099562B" w:rsidP="00BB44D9">
            <w:pPr>
              <w:widowControl w:val="0"/>
              <w:numPr>
                <w:ilvl w:val="0"/>
                <w:numId w:val="2"/>
              </w:numPr>
              <w:autoSpaceDE w:val="0"/>
              <w:autoSpaceDN w:val="0"/>
              <w:adjustRightInd w:val="0"/>
              <w:ind w:left="584" w:hanging="357"/>
            </w:pPr>
            <w:r>
              <w:t>Akseptansetest godkjent (2.4.6)</w:t>
            </w:r>
          </w:p>
          <w:p w:rsidR="0099562B" w:rsidRDefault="0099562B" w:rsidP="00BB44D9">
            <w:pPr>
              <w:widowControl w:val="0"/>
              <w:numPr>
                <w:ilvl w:val="0"/>
                <w:numId w:val="2"/>
              </w:numPr>
              <w:autoSpaceDE w:val="0"/>
              <w:autoSpaceDN w:val="0"/>
              <w:adjustRightInd w:val="0"/>
              <w:ind w:left="584" w:hanging="357"/>
            </w:pPr>
            <w:r>
              <w:t>Leveringsdag (2.5.3)</w:t>
            </w:r>
          </w:p>
        </w:tc>
        <w:tc>
          <w:tcPr>
            <w:tcW w:w="5343" w:type="dxa"/>
          </w:tcPr>
          <w:p w:rsidR="0099562B" w:rsidRDefault="0099562B" w:rsidP="0099562B">
            <w:r>
              <w:t>For oversiktens skyld er det innledningsvis i avtalen tatt inn en oversikt over kontraktens faser og hovedmilepæler.</w:t>
            </w:r>
          </w:p>
        </w:tc>
      </w:tr>
      <w:tr w:rsidR="00F34754" w:rsidTr="00701EB6">
        <w:tc>
          <w:tcPr>
            <w:tcW w:w="2376" w:type="dxa"/>
          </w:tcPr>
          <w:p w:rsidR="00F34754" w:rsidRDefault="007C6B15">
            <w:r>
              <w:lastRenderedPageBreak/>
              <w:t>Delleveranser</w:t>
            </w:r>
          </w:p>
        </w:tc>
        <w:tc>
          <w:tcPr>
            <w:tcW w:w="1418" w:type="dxa"/>
          </w:tcPr>
          <w:p w:rsidR="00F34754" w:rsidRDefault="00B35B13">
            <w:r>
              <w:t>2.1.4</w:t>
            </w:r>
          </w:p>
        </w:tc>
        <w:tc>
          <w:tcPr>
            <w:tcW w:w="4961" w:type="dxa"/>
          </w:tcPr>
          <w:p w:rsidR="00F34754" w:rsidRDefault="007C6B15" w:rsidP="007E3ED8">
            <w:r>
              <w:t xml:space="preserve">Det er tatt inn en ny bestemmelse som legger til rette for bruk av delleveranser. Dette innebærer at den avtalte leveransen deles i "mindre biter" som leveres hver for seg. Delleveransene kan settes i drift fortløpende eller samlet. Kontraktens bestemmelser om </w:t>
            </w:r>
            <w:r w:rsidR="007E3ED8">
              <w:t xml:space="preserve">spesifiseringsfasen og </w:t>
            </w:r>
            <w:r>
              <w:t xml:space="preserve">gjennomføring av leveransen gjelder </w:t>
            </w:r>
            <w:r w:rsidR="007E3ED8">
              <w:t xml:space="preserve">i utgangpunktet </w:t>
            </w:r>
            <w:r>
              <w:t>for hver enkelt delleveranse.</w:t>
            </w:r>
            <w:r w:rsidR="002677FE">
              <w:t xml:space="preserve"> Se også nedenfor om akseptansetest og godkjenningsperiode ved bruk av delleveranser.</w:t>
            </w:r>
            <w:r>
              <w:t xml:space="preserve"> </w:t>
            </w:r>
          </w:p>
        </w:tc>
        <w:tc>
          <w:tcPr>
            <w:tcW w:w="5343" w:type="dxa"/>
          </w:tcPr>
          <w:p w:rsidR="00F34754" w:rsidRDefault="007C6B15" w:rsidP="007E3ED8">
            <w:r>
              <w:t>Bruken av delleveranser gjør det mulig å redusere risiko ved å dele opp leveransen. Dette kan lette arbeidet for kunden både mht</w:t>
            </w:r>
            <w:r w:rsidR="007F6D2A">
              <w:t>.</w:t>
            </w:r>
            <w:r>
              <w:t xml:space="preserve"> kontroll og egen innsats og gjøre risikoen knyttet til eventuelt mislighold mer forutberegnelig for leverandøren. Fremdrift måles for den enkelte delleveranse og dagbøter beregnes av verdien av den eller de delleveranser som er forsinket</w:t>
            </w:r>
            <w:r w:rsidR="007E3ED8">
              <w:t>, jf. 11.5.2</w:t>
            </w:r>
            <w:r>
              <w:t xml:space="preserve">. </w:t>
            </w:r>
          </w:p>
        </w:tc>
      </w:tr>
      <w:tr w:rsidR="00172B45" w:rsidTr="00701EB6">
        <w:tc>
          <w:tcPr>
            <w:tcW w:w="2376" w:type="dxa"/>
          </w:tcPr>
          <w:p w:rsidR="00172B45" w:rsidRDefault="00172B45" w:rsidP="00A12FF2">
            <w:r>
              <w:t>Detaljspesifikasjonen – spesifiseringsfasen</w:t>
            </w:r>
          </w:p>
        </w:tc>
        <w:tc>
          <w:tcPr>
            <w:tcW w:w="1418" w:type="dxa"/>
          </w:tcPr>
          <w:p w:rsidR="00172B45" w:rsidRDefault="00A12FF2">
            <w:r>
              <w:t>2.2.1</w:t>
            </w:r>
            <w:r w:rsidR="00BB44D9">
              <w:t xml:space="preserve"> og 2.2.2</w:t>
            </w:r>
          </w:p>
        </w:tc>
        <w:tc>
          <w:tcPr>
            <w:tcW w:w="4961" w:type="dxa"/>
          </w:tcPr>
          <w:p w:rsidR="0066016F" w:rsidRDefault="00172B45" w:rsidP="008B25EC">
            <w:r>
              <w:t>Bestemmelsene om spesifiseringsfasen er endret. Det stilles krav til kundens aktive deltakelse og godkjenning underveis i spesifikasjonsfasen.</w:t>
            </w:r>
            <w:r w:rsidR="008B25EC">
              <w:t xml:space="preserve"> Detaljspesifikasjonen fastlegger løsningsvalg for leveransen, herunder detaljerer og presiserer kravene, innenfor rammen av bilag 1 og bilag 2 (endringer krever endringsordre). </w:t>
            </w:r>
          </w:p>
        </w:tc>
        <w:tc>
          <w:tcPr>
            <w:tcW w:w="5343" w:type="dxa"/>
          </w:tcPr>
          <w:p w:rsidR="00172B45" w:rsidRDefault="008B25EC" w:rsidP="00BB44D9">
            <w:r>
              <w:t xml:space="preserve">Leverandøren leder spesifiseringsarbeidet. Leverandøren dokumenterer løsningsavklaringer og de foreslåtte løsningsvalg og sender dem til </w:t>
            </w:r>
            <w:r w:rsidR="007E3ED8">
              <w:t>k</w:t>
            </w:r>
            <w:r>
              <w:t xml:space="preserve">unden for godkjenning. </w:t>
            </w:r>
            <w:r w:rsidR="00172B45">
              <w:t xml:space="preserve">Hvis kunden ikke "følger med i timen" ved å reklamere på </w:t>
            </w:r>
            <w:r>
              <w:t xml:space="preserve">løsningsvalgene </w:t>
            </w:r>
            <w:r w:rsidR="00172B45">
              <w:t>i detaljspesifikasjonen</w:t>
            </w:r>
            <w:r>
              <w:t xml:space="preserve"> (innen 10 virkedager) anses de som godkjent</w:t>
            </w:r>
            <w:r w:rsidR="00172B45">
              <w:t xml:space="preserve">, </w:t>
            </w:r>
            <w:r>
              <w:t xml:space="preserve">og </w:t>
            </w:r>
            <w:r w:rsidR="00172B45">
              <w:t xml:space="preserve">senere endringer eller manglende godkjenning </w:t>
            </w:r>
            <w:r>
              <w:t xml:space="preserve">vil </w:t>
            </w:r>
            <w:r w:rsidR="00172B45">
              <w:t>måtte håndteres som endringer.</w:t>
            </w:r>
            <w:r>
              <w:t xml:space="preserve"> Dette forutsetter imidlertid at løsningsvalgene ligger innenfor rammen av bilag 1 og 2. </w:t>
            </w:r>
            <w:r w:rsidR="00BB44D9">
              <w:t>Merk også at k</w:t>
            </w:r>
            <w:r>
              <w:t xml:space="preserve">unden </w:t>
            </w:r>
            <w:r w:rsidR="00BB44D9">
              <w:t xml:space="preserve">uansett </w:t>
            </w:r>
            <w:r>
              <w:t xml:space="preserve">ikke </w:t>
            </w:r>
            <w:r w:rsidR="00BB44D9">
              <w:t xml:space="preserve">kan </w:t>
            </w:r>
            <w:r w:rsidRPr="00AA1A30">
              <w:rPr>
                <w:i/>
              </w:rPr>
              <w:t>frafalle</w:t>
            </w:r>
            <w:r>
              <w:t xml:space="preserve"> krav på annen måte enn ved å utstede endringsordre</w:t>
            </w:r>
            <w:r w:rsidR="009E43D3">
              <w:t>, se punkt 2.2.1 tredje avsnitt, siste setning</w:t>
            </w:r>
            <w:r>
              <w:t>.</w:t>
            </w:r>
          </w:p>
        </w:tc>
      </w:tr>
      <w:tr w:rsidR="00B35B13" w:rsidTr="00701EB6">
        <w:tc>
          <w:tcPr>
            <w:tcW w:w="2376" w:type="dxa"/>
          </w:tcPr>
          <w:p w:rsidR="00B35B13" w:rsidRDefault="00B35B13" w:rsidP="00172B45">
            <w:r>
              <w:t>Detaljspesifikasjonen – særlig om delleveranser</w:t>
            </w:r>
          </w:p>
        </w:tc>
        <w:tc>
          <w:tcPr>
            <w:tcW w:w="1418" w:type="dxa"/>
          </w:tcPr>
          <w:p w:rsidR="00B35B13" w:rsidRDefault="00B35B13" w:rsidP="002670D1">
            <w:r>
              <w:t>2.1.4 første avsnitt, siste setning</w:t>
            </w:r>
          </w:p>
        </w:tc>
        <w:tc>
          <w:tcPr>
            <w:tcW w:w="4961" w:type="dxa"/>
          </w:tcPr>
          <w:p w:rsidR="00B35B13" w:rsidRDefault="00B35B13" w:rsidP="00172B45">
            <w:r>
              <w:t>Med mindre annet fremgår av bilag 4, skal det som del av spesifiseringsfasen for første delleveranse utarbeides en overordnet spesifikasjon for hele leveransen som viser hvordan delleveransene til sammen dekker det samlede leveringsomfanget i henhold til avtalen.</w:t>
            </w:r>
          </w:p>
        </w:tc>
        <w:tc>
          <w:tcPr>
            <w:tcW w:w="5343" w:type="dxa"/>
          </w:tcPr>
          <w:p w:rsidR="00B35B13" w:rsidRDefault="00B35B13" w:rsidP="00BD36FD"/>
        </w:tc>
      </w:tr>
      <w:tr w:rsidR="00172B45" w:rsidTr="00701EB6">
        <w:tc>
          <w:tcPr>
            <w:tcW w:w="2376" w:type="dxa"/>
          </w:tcPr>
          <w:p w:rsidR="00172B45" w:rsidRDefault="00172B45" w:rsidP="00172B45">
            <w:r>
              <w:t>Detaljspesifikasjonen – etterfølgende utnyttelse</w:t>
            </w:r>
          </w:p>
        </w:tc>
        <w:tc>
          <w:tcPr>
            <w:tcW w:w="1418" w:type="dxa"/>
          </w:tcPr>
          <w:p w:rsidR="00172B45" w:rsidRDefault="008D5822">
            <w:r>
              <w:t>10.4.4</w:t>
            </w:r>
          </w:p>
        </w:tc>
        <w:tc>
          <w:tcPr>
            <w:tcW w:w="4961" w:type="dxa"/>
          </w:tcPr>
          <w:p w:rsidR="00172B45" w:rsidRDefault="00172B45" w:rsidP="00172B45">
            <w:r>
              <w:t>Bestemmelsene om videre bruk av detaljspesifikasjonen (for andre formål enn den opprinnelige leveransen) er presisert.</w:t>
            </w:r>
          </w:p>
        </w:tc>
        <w:tc>
          <w:tcPr>
            <w:tcW w:w="5343" w:type="dxa"/>
          </w:tcPr>
          <w:p w:rsidR="00172B45" w:rsidRDefault="00A12FF2" w:rsidP="00A12FF2">
            <w:r w:rsidRPr="008635B8">
              <w:t xml:space="preserve">Hver av partene kan utnytte detaljspesifikasjonen uhindret av den annen parts eventuelle opphavsrett. </w:t>
            </w:r>
            <w:r>
              <w:t>Utnyttelsesretten inkluderer retten til å gjenbruke detaljspesifikasjonen i andre oppdrag og å gjøre den tilgjengelig for andre og deres gjenbruk. B</w:t>
            </w:r>
            <w:r w:rsidRPr="008635B8">
              <w:t xml:space="preserve">estemmelsen </w:t>
            </w:r>
            <w:r>
              <w:t xml:space="preserve">gir imidlertid </w:t>
            </w:r>
            <w:r w:rsidRPr="008635B8">
              <w:t xml:space="preserve">ikke </w:t>
            </w:r>
            <w:r>
              <w:t xml:space="preserve">rett til å utlevere opplysninger som er </w:t>
            </w:r>
            <w:r>
              <w:lastRenderedPageBreak/>
              <w:t xml:space="preserve">omfattet av </w:t>
            </w:r>
            <w:r w:rsidRPr="008635B8">
              <w:t>taushetsplikt</w:t>
            </w:r>
            <w:r>
              <w:t xml:space="preserve"> i henhold til punkt 7.3</w:t>
            </w:r>
          </w:p>
        </w:tc>
      </w:tr>
      <w:tr w:rsidR="00B35B13" w:rsidTr="00701EB6">
        <w:tc>
          <w:tcPr>
            <w:tcW w:w="2376" w:type="dxa"/>
          </w:tcPr>
          <w:p w:rsidR="00B35B13" w:rsidRDefault="00B35B13">
            <w:r>
              <w:lastRenderedPageBreak/>
              <w:t>Samvirke med eksisterende plattform</w:t>
            </w:r>
          </w:p>
        </w:tc>
        <w:tc>
          <w:tcPr>
            <w:tcW w:w="1418" w:type="dxa"/>
          </w:tcPr>
          <w:p w:rsidR="00B35B13" w:rsidRDefault="00B35B13" w:rsidP="002670D1">
            <w:r>
              <w:t>2.3.2 annet avsnitt</w:t>
            </w:r>
          </w:p>
        </w:tc>
        <w:tc>
          <w:tcPr>
            <w:tcW w:w="4961" w:type="dxa"/>
          </w:tcPr>
          <w:p w:rsidR="00B35B13" w:rsidRDefault="00B35B13" w:rsidP="00694F46">
            <w:r>
              <w:t xml:space="preserve">Hvis leveransen skal samvirke med eksisterende programvare eller teknisk løsning hos kunden må kunden presisere dette (i tillegg til å beskrive sin tekniske plattform i bilag 3). Leverandøren kan angi at oppgradering er nødvendig. </w:t>
            </w:r>
            <w:r w:rsidR="000F05F3">
              <w:t>Hvis leverandøren ikke angir at oppgradering er nødvendig kan kunden legge til grunn at leveransen vil fungere mot ikke-oppraderte systemer kunden har gjort leverandøren kjent med.</w:t>
            </w:r>
          </w:p>
        </w:tc>
        <w:tc>
          <w:tcPr>
            <w:tcW w:w="5343" w:type="dxa"/>
          </w:tcPr>
          <w:p w:rsidR="00B35B13" w:rsidRDefault="00B35B13" w:rsidP="00B35B13">
            <w:r>
              <w:t>Tidligere SSA</w:t>
            </w:r>
            <w:r w:rsidR="00D71097">
              <w:t>-T</w:t>
            </w:r>
            <w:r>
              <w:t xml:space="preserve"> tok som utgangspunkt at leveransen skulle samvirke med eksisterende teknisk plattform. Den nye SSA-T krever at kunden presiserer hvilke deler av plattformen den nye løsningen skal samvirke med og tar høyde for at leverandøren beskriver kravene til (et nytt) miljø som leveransen skal driftes i.</w:t>
            </w:r>
          </w:p>
        </w:tc>
      </w:tr>
      <w:tr w:rsidR="00B35B13" w:rsidTr="00701EB6">
        <w:tc>
          <w:tcPr>
            <w:tcW w:w="2376" w:type="dxa"/>
          </w:tcPr>
          <w:p w:rsidR="00B35B13" w:rsidRDefault="00B35B13" w:rsidP="00172B45">
            <w:r>
              <w:t>Integrasjoner</w:t>
            </w:r>
          </w:p>
        </w:tc>
        <w:tc>
          <w:tcPr>
            <w:tcW w:w="1418" w:type="dxa"/>
          </w:tcPr>
          <w:p w:rsidR="00B35B13" w:rsidRDefault="00B35B13" w:rsidP="002670D1">
            <w:r>
              <w:t>2.3.2 tredje avsnitt</w:t>
            </w:r>
          </w:p>
        </w:tc>
        <w:tc>
          <w:tcPr>
            <w:tcW w:w="4961" w:type="dxa"/>
          </w:tcPr>
          <w:p w:rsidR="00B35B13" w:rsidRDefault="00B35B13" w:rsidP="002D03B0">
            <w:r>
              <w:t>Bestemmelsene om leverandørens ansvar for integrasjoner er presisert. Kunden må angi hvilke integrasjoner som skal være inkludert i prisen og som leverandøren har resultatansvar for. Øvrige integrasjoner leveres på timebasis med mindre annet er avtalt.</w:t>
            </w:r>
          </w:p>
        </w:tc>
        <w:tc>
          <w:tcPr>
            <w:tcW w:w="5343" w:type="dxa"/>
          </w:tcPr>
          <w:p w:rsidR="00B35B13" w:rsidRDefault="00B35B13" w:rsidP="00717E11">
            <w:r>
              <w:t xml:space="preserve">Endringen tar sikte på å gjøre risikoen knyttet til integrasjoner med kundens eksisterende løsninger </w:t>
            </w:r>
            <w:r w:rsidR="00E80A0C">
              <w:t xml:space="preserve">mer </w:t>
            </w:r>
            <w:r>
              <w:t>forutberegnelig for leverandøren, skape klarhet om det avtalte omfanget, og redusere risikoen for avvik og forbehold som kan føre til avvisning.</w:t>
            </w:r>
          </w:p>
        </w:tc>
      </w:tr>
      <w:tr w:rsidR="00801121" w:rsidTr="00701EB6">
        <w:tc>
          <w:tcPr>
            <w:tcW w:w="2376" w:type="dxa"/>
          </w:tcPr>
          <w:p w:rsidR="00801121" w:rsidRDefault="00801121" w:rsidP="00172B45">
            <w:r>
              <w:t>Revisjon</w:t>
            </w:r>
          </w:p>
        </w:tc>
        <w:tc>
          <w:tcPr>
            <w:tcW w:w="1418" w:type="dxa"/>
          </w:tcPr>
          <w:p w:rsidR="00801121" w:rsidRDefault="00361DD3">
            <w:r>
              <w:t>2.3.5</w:t>
            </w:r>
          </w:p>
        </w:tc>
        <w:tc>
          <w:tcPr>
            <w:tcW w:w="4961" w:type="dxa"/>
          </w:tcPr>
          <w:p w:rsidR="00801121" w:rsidRDefault="00801121" w:rsidP="00B01CDA">
            <w:r>
              <w:t xml:space="preserve">Det er innført en generell bestemmelse om </w:t>
            </w:r>
            <w:r w:rsidR="009B7B81">
              <w:t xml:space="preserve">kundens adgang til </w:t>
            </w:r>
            <w:r w:rsidR="008D5822">
              <w:t xml:space="preserve">å foreta kvalitets- og sikkerhetsrevisjoner og gjennomgang av utviklingsarbeidet </w:t>
            </w:r>
            <w:r w:rsidR="009B7B81">
              <w:t>hos leverandøren</w:t>
            </w:r>
            <w:r w:rsidR="008D5822">
              <w:t>, og for å verifisere at leverandøren overholder sin</w:t>
            </w:r>
            <w:r w:rsidR="000F05F3">
              <w:t>e</w:t>
            </w:r>
            <w:r w:rsidR="008D5822">
              <w:t xml:space="preserve"> øvrige forpliktelser etter avtalen</w:t>
            </w:r>
            <w:r w:rsidR="009B7B81">
              <w:t>.</w:t>
            </w:r>
            <w:r w:rsidR="008D5822">
              <w:t xml:space="preserve"> Kunden kan engasjere tredjepart til å utføre revisjonen.</w:t>
            </w:r>
          </w:p>
        </w:tc>
        <w:tc>
          <w:tcPr>
            <w:tcW w:w="5343" w:type="dxa"/>
          </w:tcPr>
          <w:p w:rsidR="00801121" w:rsidRDefault="008D5822" w:rsidP="008B3D14">
            <w:r>
              <w:t xml:space="preserve">Bestemmelsen erstatter en tidligere bestemmelse </w:t>
            </w:r>
            <w:r w:rsidR="00034D68">
              <w:t xml:space="preserve">som var begrenset til </w:t>
            </w:r>
            <w:r>
              <w:t>kvalitetsrevisjon.</w:t>
            </w:r>
          </w:p>
        </w:tc>
      </w:tr>
      <w:tr w:rsidR="00801121" w:rsidTr="00701EB6">
        <w:tc>
          <w:tcPr>
            <w:tcW w:w="2376" w:type="dxa"/>
          </w:tcPr>
          <w:p w:rsidR="00801121" w:rsidRDefault="00C00892" w:rsidP="00C00892">
            <w:r>
              <w:t>Dokumentasjon</w:t>
            </w:r>
          </w:p>
        </w:tc>
        <w:tc>
          <w:tcPr>
            <w:tcW w:w="1418" w:type="dxa"/>
          </w:tcPr>
          <w:p w:rsidR="00801121" w:rsidRDefault="00361DD3">
            <w:r>
              <w:t>2.3.6</w:t>
            </w:r>
          </w:p>
        </w:tc>
        <w:tc>
          <w:tcPr>
            <w:tcW w:w="4961" w:type="dxa"/>
          </w:tcPr>
          <w:p w:rsidR="00801121" w:rsidRDefault="00C00892" w:rsidP="00830276">
            <w:r>
              <w:t>Bestemmelsene om dokumentasjon er forenklet. Kravene til dokumentasjon må spesifiseres av kunden.</w:t>
            </w:r>
            <w:r w:rsidR="00830276">
              <w:t xml:space="preserve"> </w:t>
            </w:r>
            <w:r w:rsidR="00830276" w:rsidRPr="006F1DD5">
              <w:t>Hvis ikke annet er avtalt</w:t>
            </w:r>
            <w:r w:rsidR="00830276">
              <w:t>,</w:t>
            </w:r>
            <w:r w:rsidR="00830276" w:rsidRPr="006F1DD5">
              <w:t xml:space="preserve"> skal </w:t>
            </w:r>
            <w:r w:rsidR="00830276">
              <w:t>k</w:t>
            </w:r>
            <w:r w:rsidR="00830276" w:rsidRPr="006F1DD5">
              <w:t xml:space="preserve">unden få tilgang til </w:t>
            </w:r>
            <w:r w:rsidR="00830276">
              <w:t>l</w:t>
            </w:r>
            <w:r w:rsidR="00830276" w:rsidRPr="006F1DD5">
              <w:t xml:space="preserve">everandørens standarddokumentasjon for løsningen samt dokumentasjon av de deler av løsningen som er utviklet eller tilpasset spesielt for </w:t>
            </w:r>
            <w:r w:rsidR="00830276">
              <w:t>k</w:t>
            </w:r>
            <w:r w:rsidR="00830276" w:rsidRPr="006F1DD5">
              <w:t>unden</w:t>
            </w:r>
            <w:r w:rsidR="00830276">
              <w:t>.</w:t>
            </w:r>
          </w:p>
        </w:tc>
        <w:tc>
          <w:tcPr>
            <w:tcW w:w="5343" w:type="dxa"/>
          </w:tcPr>
          <w:p w:rsidR="00801121" w:rsidRDefault="00801121" w:rsidP="00717E11"/>
        </w:tc>
      </w:tr>
      <w:tr w:rsidR="009322B8" w:rsidTr="00701EB6">
        <w:tc>
          <w:tcPr>
            <w:tcW w:w="2376" w:type="dxa"/>
          </w:tcPr>
          <w:p w:rsidR="009322B8" w:rsidRDefault="009322B8" w:rsidP="00C00892">
            <w:r>
              <w:t>Opplæring</w:t>
            </w:r>
          </w:p>
        </w:tc>
        <w:tc>
          <w:tcPr>
            <w:tcW w:w="1418" w:type="dxa"/>
          </w:tcPr>
          <w:p w:rsidR="009322B8" w:rsidRDefault="009322B8">
            <w:r>
              <w:t>2.3.7</w:t>
            </w:r>
          </w:p>
        </w:tc>
        <w:tc>
          <w:tcPr>
            <w:tcW w:w="4961" w:type="dxa"/>
          </w:tcPr>
          <w:p w:rsidR="009322B8" w:rsidRDefault="009322B8" w:rsidP="009322B8">
            <w:r>
              <w:t xml:space="preserve">Reglene om opplæring er forenklet og legger </w:t>
            </w:r>
            <w:r w:rsidR="003265FD">
              <w:t>færre</w:t>
            </w:r>
            <w:r>
              <w:t xml:space="preserve"> føringer.</w:t>
            </w:r>
          </w:p>
        </w:tc>
        <w:tc>
          <w:tcPr>
            <w:tcW w:w="5343" w:type="dxa"/>
          </w:tcPr>
          <w:p w:rsidR="009322B8" w:rsidRDefault="009322B8" w:rsidP="00C543DD"/>
        </w:tc>
      </w:tr>
      <w:tr w:rsidR="00361DD3" w:rsidTr="00701EB6">
        <w:tc>
          <w:tcPr>
            <w:tcW w:w="2376" w:type="dxa"/>
          </w:tcPr>
          <w:p w:rsidR="00361DD3" w:rsidRDefault="00361DD3" w:rsidP="00C00892">
            <w:r>
              <w:t>Konvertering</w:t>
            </w:r>
          </w:p>
        </w:tc>
        <w:tc>
          <w:tcPr>
            <w:tcW w:w="1418" w:type="dxa"/>
          </w:tcPr>
          <w:p w:rsidR="00361DD3" w:rsidRDefault="00361DD3">
            <w:r>
              <w:t>2.3.8</w:t>
            </w:r>
          </w:p>
        </w:tc>
        <w:tc>
          <w:tcPr>
            <w:tcW w:w="4961" w:type="dxa"/>
          </w:tcPr>
          <w:p w:rsidR="00361DD3" w:rsidRDefault="00361DD3" w:rsidP="00361DD3">
            <w:r>
              <w:t xml:space="preserve">Hvis leverandøren skal konvertere kundens data må </w:t>
            </w:r>
            <w:r>
              <w:lastRenderedPageBreak/>
              <w:t>det være beskrevet i bilag 1 og/eller 2. Hvis ikke annet er avtalt betales konvertering etter medgått tid og til avtalte timepriser. Plan for konverteringsarbeidet utarbeides i spesifikasjonsfasen, herunder om hvordan personopplysninger skal behandles.</w:t>
            </w:r>
          </w:p>
        </w:tc>
        <w:tc>
          <w:tcPr>
            <w:tcW w:w="5343" w:type="dxa"/>
          </w:tcPr>
          <w:p w:rsidR="00361DD3" w:rsidRDefault="00361DD3" w:rsidP="00C543DD">
            <w:r>
              <w:lastRenderedPageBreak/>
              <w:t xml:space="preserve">Bestemmelsen er også på andre punkter omskrevet. Det </w:t>
            </w:r>
            <w:r>
              <w:lastRenderedPageBreak/>
              <w:t xml:space="preserve">er bl.a. presisert at leverandøren </w:t>
            </w:r>
            <w:r w:rsidR="002670D1">
              <w:t xml:space="preserve">skal påse at det er tatt sikkerhetskopi av Kundens data før konvertering gjennomføres f.eks. ved å </w:t>
            </w:r>
            <w:r>
              <w:t xml:space="preserve">innhente bekreftelse på at nødvendig sikkerhetskopi er tatt før konvertering starter </w:t>
            </w:r>
            <w:r w:rsidR="002670D1">
              <w:t xml:space="preserve">samt </w:t>
            </w:r>
            <w:r>
              <w:t>at prøvekonvertering</w:t>
            </w:r>
            <w:r w:rsidR="002670D1">
              <w:t xml:space="preserve"> skal gjennomføres</w:t>
            </w:r>
            <w:r>
              <w:t>.</w:t>
            </w:r>
          </w:p>
        </w:tc>
      </w:tr>
      <w:tr w:rsidR="00B01CDA" w:rsidTr="00701EB6">
        <w:tc>
          <w:tcPr>
            <w:tcW w:w="2376" w:type="dxa"/>
          </w:tcPr>
          <w:p w:rsidR="00B01CDA" w:rsidRDefault="00B01CDA" w:rsidP="00C00892">
            <w:r>
              <w:lastRenderedPageBreak/>
              <w:t>Installasjon</w:t>
            </w:r>
          </w:p>
        </w:tc>
        <w:tc>
          <w:tcPr>
            <w:tcW w:w="1418" w:type="dxa"/>
          </w:tcPr>
          <w:p w:rsidR="00B01CDA" w:rsidRDefault="00B01CDA"/>
        </w:tc>
        <w:tc>
          <w:tcPr>
            <w:tcW w:w="4961" w:type="dxa"/>
          </w:tcPr>
          <w:p w:rsidR="00B01CDA" w:rsidRDefault="00B01CDA" w:rsidP="00B01CDA">
            <w:r>
              <w:t>Bestemmelsene om installasjon og installasjonsforberedelse er fjernet, se punkt 2.4.2 om løsning klar for akseptansetest umiddelbart nedenfor.</w:t>
            </w:r>
          </w:p>
        </w:tc>
        <w:tc>
          <w:tcPr>
            <w:tcW w:w="5343" w:type="dxa"/>
          </w:tcPr>
          <w:p w:rsidR="00B01CDA" w:rsidRDefault="00B01CDA" w:rsidP="00910CEF"/>
        </w:tc>
      </w:tr>
      <w:tr w:rsidR="00C00892" w:rsidTr="00701EB6">
        <w:tc>
          <w:tcPr>
            <w:tcW w:w="2376" w:type="dxa"/>
          </w:tcPr>
          <w:p w:rsidR="00C00892" w:rsidRDefault="00C00892" w:rsidP="00C00892">
            <w:r>
              <w:t>Løsning klar for akseptansetest</w:t>
            </w:r>
          </w:p>
        </w:tc>
        <w:tc>
          <w:tcPr>
            <w:tcW w:w="1418" w:type="dxa"/>
          </w:tcPr>
          <w:p w:rsidR="00C00892" w:rsidRDefault="002C1A63">
            <w:r>
              <w:t>2.4.2</w:t>
            </w:r>
          </w:p>
        </w:tc>
        <w:tc>
          <w:tcPr>
            <w:tcW w:w="4961" w:type="dxa"/>
          </w:tcPr>
          <w:p w:rsidR="00C00892" w:rsidRDefault="00C00892" w:rsidP="00082018">
            <w:r>
              <w:t xml:space="preserve">Leverandøren har ansvaret for fremdrift </w:t>
            </w:r>
            <w:r w:rsidR="00082018">
              <w:t xml:space="preserve">i utviklingsfasen </w:t>
            </w:r>
            <w:r>
              <w:t>frem til han sender melding om at løsningen er klar for akseptansetest. Ny milepæl "Løsning klar for akseptansetest" erstatter tidligere milepæl "Installasjonsdag</w:t>
            </w:r>
            <w:r w:rsidR="00AA5441">
              <w:t>"</w:t>
            </w:r>
            <w:r>
              <w:t>.</w:t>
            </w:r>
            <w:r w:rsidR="00082018">
              <w:t xml:space="preserve"> Kriteriene for når løsningen kan avvises fra akseptansetest er presisert.</w:t>
            </w:r>
            <w:r w:rsidR="002C1A63">
              <w:t xml:space="preserve"> </w:t>
            </w:r>
          </w:p>
        </w:tc>
        <w:tc>
          <w:tcPr>
            <w:tcW w:w="5343" w:type="dxa"/>
          </w:tcPr>
          <w:p w:rsidR="00C00892" w:rsidRDefault="00082018" w:rsidP="00910CEF">
            <w:r>
              <w:t>Hvis det innen 10 dager blir klart at løsningen er så mangelfull at kunden ville ha rett til å stanse akseptansetesten, kan kunden avvise løsningen fra akseptansetest</w:t>
            </w:r>
            <w:r w:rsidR="00910CEF">
              <w:t xml:space="preserve"> med den konsekvens at milepælen ikke anses som inntruffet.</w:t>
            </w:r>
          </w:p>
        </w:tc>
      </w:tr>
      <w:tr w:rsidR="00C00892" w:rsidTr="00701EB6">
        <w:tc>
          <w:tcPr>
            <w:tcW w:w="2376" w:type="dxa"/>
          </w:tcPr>
          <w:p w:rsidR="00C00892" w:rsidRDefault="00C00892" w:rsidP="002C1A63">
            <w:r>
              <w:t xml:space="preserve">Akseptansetest – </w:t>
            </w:r>
            <w:r w:rsidR="002C1A63">
              <w:t>plan og gjennomføring</w:t>
            </w:r>
          </w:p>
        </w:tc>
        <w:tc>
          <w:tcPr>
            <w:tcW w:w="1418" w:type="dxa"/>
          </w:tcPr>
          <w:p w:rsidR="00C00892" w:rsidRDefault="00552CE3" w:rsidP="002670D1">
            <w:r>
              <w:t>2.4.3 og 2.4.5</w:t>
            </w:r>
            <w:r w:rsidR="00E70E97">
              <w:t xml:space="preserve"> sjette </w:t>
            </w:r>
            <w:r w:rsidR="008E7CFD">
              <w:t>til åttende avsnitt</w:t>
            </w:r>
          </w:p>
        </w:tc>
        <w:tc>
          <w:tcPr>
            <w:tcW w:w="4961" w:type="dxa"/>
          </w:tcPr>
          <w:p w:rsidR="002C1A63" w:rsidRDefault="00C00892" w:rsidP="00C543DD">
            <w:r>
              <w:t>Bestemmelsene om akseptansetest er omskrevet og forenklet.</w:t>
            </w:r>
            <w:r w:rsidR="002C1A63">
              <w:t xml:space="preserve"> Noen hovedpunkter </w:t>
            </w:r>
            <w:r w:rsidR="00CA42E4">
              <w:t xml:space="preserve">fremheves nedenfor </w:t>
            </w:r>
            <w:r w:rsidR="002C1A63">
              <w:t xml:space="preserve">(hele </w:t>
            </w:r>
            <w:r w:rsidR="00CA42E4">
              <w:t xml:space="preserve">det nye </w:t>
            </w:r>
            <w:r w:rsidR="002C1A63">
              <w:t xml:space="preserve">kapittel 2.4 bør leses): </w:t>
            </w:r>
          </w:p>
          <w:p w:rsidR="008E7CFD" w:rsidRDefault="002C1A63" w:rsidP="00B0589F">
            <w:pPr>
              <w:pStyle w:val="Listeavsnitt"/>
              <w:numPr>
                <w:ilvl w:val="0"/>
                <w:numId w:val="5"/>
              </w:numPr>
              <w:ind w:left="357" w:hanging="357"/>
            </w:pPr>
            <w:r>
              <w:t>Kunden lager plan for akseptansetesten</w:t>
            </w:r>
            <w:r w:rsidR="00552CE3">
              <w:t>, men kan be om bistand fra leverandøren (hvis det fremgår av bilag 5)</w:t>
            </w:r>
            <w:r>
              <w:t>. Leverandøren skal gjøre tilgjengelig for kunden det materiale</w:t>
            </w:r>
            <w:r w:rsidR="002670D1">
              <w:t>t</w:t>
            </w:r>
            <w:r>
              <w:t xml:space="preserve"> leverandøren selv vil benytte som grunnlag for ege</w:t>
            </w:r>
            <w:r w:rsidR="002670D1">
              <w:t>n</w:t>
            </w:r>
            <w:r>
              <w:t xml:space="preserve"> </w:t>
            </w:r>
            <w:r w:rsidR="002670D1">
              <w:t xml:space="preserve">testing </w:t>
            </w:r>
            <w:r>
              <w:t xml:space="preserve">slik at kunden kan benytte det som grunnlag for arbeidet med sin egen testplan. </w:t>
            </w:r>
          </w:p>
          <w:p w:rsidR="00C00892" w:rsidRDefault="002C1A63" w:rsidP="00B0589F">
            <w:pPr>
              <w:pStyle w:val="Listeavsnitt"/>
              <w:numPr>
                <w:ilvl w:val="0"/>
                <w:numId w:val="5"/>
              </w:numPr>
              <w:ind w:left="357" w:hanging="357"/>
            </w:pPr>
            <w:r>
              <w:t>Bestemmelsene om kundens rett til å stanse akseptansetesten er bearbeidet og forenklet</w:t>
            </w:r>
            <w:r w:rsidR="00552CE3">
              <w:t xml:space="preserve"> (se kommentar)</w:t>
            </w:r>
            <w:r>
              <w:t>.</w:t>
            </w:r>
          </w:p>
          <w:p w:rsidR="008E7CFD" w:rsidRDefault="008E7CFD" w:rsidP="00B0589F">
            <w:pPr>
              <w:pStyle w:val="Listeavsnitt"/>
              <w:numPr>
                <w:ilvl w:val="0"/>
                <w:numId w:val="5"/>
              </w:numPr>
              <w:ind w:left="357" w:hanging="357"/>
            </w:pPr>
            <w:r>
              <w:t>H</w:t>
            </w:r>
            <w:r w:rsidRPr="000012BB">
              <w:t>vis tidligere rettede feil gjenintroduseres i løsningen</w:t>
            </w:r>
            <w:r>
              <w:t xml:space="preserve"> fordi Leverandøren feiler i sin versjonshåndtering og legger inn utgått kode, skal Kundens akseptansetest stoppes til </w:t>
            </w:r>
            <w:r>
              <w:lastRenderedPageBreak/>
              <w:t>Leverandøren har foretatt nødvendige rettinger.</w:t>
            </w:r>
          </w:p>
          <w:p w:rsidR="008E7CFD" w:rsidRDefault="008E7CFD" w:rsidP="00B0589F">
            <w:pPr>
              <w:pStyle w:val="Listeavsnitt"/>
              <w:numPr>
                <w:ilvl w:val="0"/>
                <w:numId w:val="5"/>
              </w:numPr>
              <w:ind w:left="357" w:hanging="357"/>
            </w:pPr>
            <w:r w:rsidRPr="000012BB">
              <w:t xml:space="preserve">Hvis feilenes art eller omfang er slik at det er til hinder for å </w:t>
            </w:r>
            <w:r>
              <w:t xml:space="preserve">rekke å </w:t>
            </w:r>
            <w:r w:rsidRPr="000012BB">
              <w:t xml:space="preserve">gjennomføre alle de planlagte tester innenfor den tid som er avsatt til akseptansetesten, har </w:t>
            </w:r>
            <w:r>
              <w:t>K</w:t>
            </w:r>
            <w:r w:rsidRPr="000012BB">
              <w:t xml:space="preserve">unden krav på </w:t>
            </w:r>
            <w:r>
              <w:t xml:space="preserve">nødvendig </w:t>
            </w:r>
            <w:r w:rsidRPr="000012BB">
              <w:t>forlengelse av akseptanset</w:t>
            </w:r>
            <w:r>
              <w:t>esten.</w:t>
            </w:r>
          </w:p>
        </w:tc>
        <w:tc>
          <w:tcPr>
            <w:tcW w:w="5343" w:type="dxa"/>
          </w:tcPr>
          <w:p w:rsidR="002C1A63" w:rsidRDefault="008E7CFD" w:rsidP="00E80A0C">
            <w:pPr>
              <w:pStyle w:val="Listeavsnitt"/>
              <w:numPr>
                <w:ilvl w:val="0"/>
                <w:numId w:val="4"/>
              </w:numPr>
              <w:ind w:left="357" w:hanging="357"/>
            </w:pPr>
            <w:r>
              <w:lastRenderedPageBreak/>
              <w:t>Den nye bestemmelsen om stans er begrenset til den del av testen som berøres av feilen (dette kan være mer enn retest av feilen isolert, men man stanser ikke hele testen hvis det ikke er nødvendig):</w:t>
            </w:r>
            <w:r w:rsidR="00E80A0C">
              <w:t xml:space="preserve"> </w:t>
            </w:r>
            <w:r w:rsidR="00E80A0C">
              <w:br/>
            </w:r>
            <w:r>
              <w:t>"</w:t>
            </w:r>
            <w:r w:rsidR="002C1A63">
              <w:t>Hvis Kunden blir hindret i sin gjennomføring av testen</w:t>
            </w:r>
            <w:r w:rsidR="002C1A63" w:rsidRPr="00945EB4">
              <w:t xml:space="preserve"> som følge av mang</w:t>
            </w:r>
            <w:r w:rsidR="002C1A63">
              <w:t>e</w:t>
            </w:r>
            <w:r w:rsidR="002C1A63" w:rsidRPr="00945EB4">
              <w:t>l</w:t>
            </w:r>
            <w:r w:rsidR="002C1A63">
              <w:t xml:space="preserve">full </w:t>
            </w:r>
            <w:r w:rsidR="002C1A63" w:rsidRPr="00945EB4">
              <w:t xml:space="preserve">utbedring av feil </w:t>
            </w:r>
            <w:r w:rsidR="002C1A63">
              <w:t>eller h</w:t>
            </w:r>
            <w:r w:rsidR="002C1A63" w:rsidRPr="000012BB">
              <w:t xml:space="preserve">vis det oppdages </w:t>
            </w:r>
            <w:r w:rsidR="002C1A63">
              <w:t>f</w:t>
            </w:r>
            <w:r w:rsidR="002C1A63" w:rsidRPr="000012BB">
              <w:t xml:space="preserve">eil som </w:t>
            </w:r>
            <w:r w:rsidR="002C1A63">
              <w:t xml:space="preserve">hindrer </w:t>
            </w:r>
            <w:r w:rsidR="002C1A63" w:rsidRPr="000012BB">
              <w:t>effektiv gjennomføring av hele eller deler av testen</w:t>
            </w:r>
            <w:r w:rsidR="002C1A63">
              <w:t>, skal den berørte del av testen stanses til Leverandøren har foretatt nødvendige rettinger. Den tiden testen har vært stoppet,</w:t>
            </w:r>
            <w:r w:rsidR="002C1A63" w:rsidRPr="000C2EDB">
              <w:t xml:space="preserve"> </w:t>
            </w:r>
            <w:r w:rsidR="002C1A63">
              <w:t>og den tiden Kunden trenger for å gjøre testen om igjen, skal legges til perioden for Kundens akseptansetest.</w:t>
            </w:r>
            <w:r>
              <w:t>"</w:t>
            </w:r>
            <w:r w:rsidR="002C1A63">
              <w:t xml:space="preserve"> </w:t>
            </w:r>
          </w:p>
          <w:p w:rsidR="008E7CFD" w:rsidRDefault="008E7CFD" w:rsidP="00B0589F">
            <w:pPr>
              <w:pStyle w:val="Listeavsnitt"/>
              <w:numPr>
                <w:ilvl w:val="0"/>
                <w:numId w:val="4"/>
              </w:numPr>
              <w:ind w:left="357" w:hanging="357"/>
            </w:pPr>
            <w:r>
              <w:t>Gjenintroduksjon av tidligere rettede feil er et tegn på mangelfull versjonshåndtering og årsaken må identifiseres før man går videre.</w:t>
            </w:r>
          </w:p>
          <w:p w:rsidR="00C00892" w:rsidRDefault="008E7CFD" w:rsidP="00E80A0C">
            <w:pPr>
              <w:pStyle w:val="Listeavsnitt"/>
              <w:numPr>
                <w:ilvl w:val="0"/>
                <w:numId w:val="4"/>
              </w:numPr>
              <w:ind w:left="357" w:hanging="357"/>
            </w:pPr>
            <w:r>
              <w:t xml:space="preserve">Siste avsnitt er en tydeligere og mer presis erstatning </w:t>
            </w:r>
            <w:r>
              <w:lastRenderedPageBreak/>
              <w:t xml:space="preserve">for den tidligere bestemmelsen om stans av hele testen, og fokuserer på om feilenes art og omfang er slik at det "spiser opp" den tid kunden skulle brukt til å teste andre ting. </w:t>
            </w:r>
          </w:p>
        </w:tc>
      </w:tr>
      <w:tr w:rsidR="00B35B13" w:rsidTr="00701EB6">
        <w:tc>
          <w:tcPr>
            <w:tcW w:w="2376" w:type="dxa"/>
          </w:tcPr>
          <w:p w:rsidR="00B35B13" w:rsidRDefault="00B35B13" w:rsidP="00B35B13">
            <w:r>
              <w:lastRenderedPageBreak/>
              <w:t>Akseptansetest – særlig om delleveranser</w:t>
            </w:r>
          </w:p>
        </w:tc>
        <w:tc>
          <w:tcPr>
            <w:tcW w:w="1418" w:type="dxa"/>
          </w:tcPr>
          <w:p w:rsidR="00B35B13" w:rsidRDefault="00B35B13" w:rsidP="002670D1">
            <w:r>
              <w:t>2.1.4 annet avsnitt</w:t>
            </w:r>
          </w:p>
        </w:tc>
        <w:tc>
          <w:tcPr>
            <w:tcW w:w="4961" w:type="dxa"/>
          </w:tcPr>
          <w:p w:rsidR="00B35B13" w:rsidRDefault="00B35B13" w:rsidP="00C00892">
            <w:r>
              <w:t xml:space="preserve">I akseptansetesten [og godkjenningsperioden] for hver ny delleveranse skal det </w:t>
            </w:r>
            <w:r w:rsidRPr="006F1DD5">
              <w:t xml:space="preserve">gjennomføres regresjonstest for å kontrollere at delleveranser som allerede er </w:t>
            </w:r>
            <w:r>
              <w:t xml:space="preserve">gjort tilgjengelig eller </w:t>
            </w:r>
            <w:r w:rsidRPr="006F1DD5">
              <w:t>tatt i bruk</w:t>
            </w:r>
            <w:r>
              <w:t>,</w:t>
            </w:r>
            <w:r w:rsidRPr="006F1DD5">
              <w:t xml:space="preserve"> </w:t>
            </w:r>
            <w:r w:rsidRPr="00B35B13">
              <w:t>fortsatt fungerer slik de tidligere er godkjent</w:t>
            </w:r>
            <w:r w:rsidRPr="006F1DD5">
              <w:t>, og at de oppfyller kontraktens krav til samvirke mellom de ulike delleveransene, ytelse, stabilitet og skalerbarhet</w:t>
            </w:r>
            <w:r>
              <w:t xml:space="preserve">. </w:t>
            </w:r>
            <w:r w:rsidRPr="003022BB">
              <w:t xml:space="preserve">Nærmere bestemmelser om art og omfang av akseptansetesten </w:t>
            </w:r>
            <w:r w:rsidRPr="00B35B13">
              <w:t>for den enkelte delleveranse og samlet akseptansetest og godkjenningsperiode</w:t>
            </w:r>
            <w:r w:rsidRPr="003022BB">
              <w:t xml:space="preserve"> inntas i bilag 5</w:t>
            </w:r>
          </w:p>
        </w:tc>
        <w:tc>
          <w:tcPr>
            <w:tcW w:w="5343" w:type="dxa"/>
          </w:tcPr>
          <w:p w:rsidR="00B35B13" w:rsidRDefault="00B35B13" w:rsidP="00C00892"/>
        </w:tc>
      </w:tr>
      <w:tr w:rsidR="00C00892" w:rsidTr="00701EB6">
        <w:tc>
          <w:tcPr>
            <w:tcW w:w="2376" w:type="dxa"/>
          </w:tcPr>
          <w:p w:rsidR="00C00892" w:rsidRDefault="00C00892" w:rsidP="002C1A63">
            <w:r>
              <w:t>Akseptansetest – akseptansekriterier</w:t>
            </w:r>
            <w:r w:rsidR="002C1A63">
              <w:t xml:space="preserve"> for godkjenning</w:t>
            </w:r>
          </w:p>
        </w:tc>
        <w:tc>
          <w:tcPr>
            <w:tcW w:w="1418" w:type="dxa"/>
          </w:tcPr>
          <w:p w:rsidR="00C00892" w:rsidRDefault="002C1A63" w:rsidP="002670D1">
            <w:r>
              <w:t>2.4 6 annet og tredje avsnitt</w:t>
            </w:r>
          </w:p>
        </w:tc>
        <w:tc>
          <w:tcPr>
            <w:tcW w:w="4961" w:type="dxa"/>
          </w:tcPr>
          <w:p w:rsidR="00C00892" w:rsidRDefault="002C1A63" w:rsidP="00020CC5">
            <w:r>
              <w:t xml:space="preserve">A- og B-feil anses hver for seg som vesentlige, med unntak av B-feil som ikke er vesentlige for </w:t>
            </w:r>
            <w:r w:rsidR="00020CC5">
              <w:t>k</w:t>
            </w:r>
            <w:r>
              <w:t>undens mulighet til å sette programvaren i drift og påbegynne godkjenningsperioden (som før). Kunden har krav på rimelig tid til retesting etter feilretting.</w:t>
            </w:r>
          </w:p>
        </w:tc>
        <w:tc>
          <w:tcPr>
            <w:tcW w:w="5343" w:type="dxa"/>
          </w:tcPr>
          <w:p w:rsidR="00C00892" w:rsidRDefault="00C00892" w:rsidP="00C00892"/>
        </w:tc>
      </w:tr>
      <w:tr w:rsidR="00C00892" w:rsidTr="00701EB6">
        <w:tc>
          <w:tcPr>
            <w:tcW w:w="2376" w:type="dxa"/>
          </w:tcPr>
          <w:p w:rsidR="00C00892" w:rsidRDefault="00CA58EC" w:rsidP="00C00892">
            <w:r>
              <w:t>Akseptanstest – betinget godkjenning</w:t>
            </w:r>
          </w:p>
        </w:tc>
        <w:tc>
          <w:tcPr>
            <w:tcW w:w="1418" w:type="dxa"/>
          </w:tcPr>
          <w:p w:rsidR="00C00892" w:rsidRDefault="002C1A63" w:rsidP="002670D1">
            <w:r>
              <w:t>2.4.6 fjerde og femte avsnitt</w:t>
            </w:r>
          </w:p>
        </w:tc>
        <w:tc>
          <w:tcPr>
            <w:tcW w:w="4961" w:type="dxa"/>
          </w:tcPr>
          <w:p w:rsidR="00C00892" w:rsidRDefault="00CA58EC" w:rsidP="00B0589F">
            <w:pPr>
              <w:pStyle w:val="Listeavsnitt"/>
              <w:numPr>
                <w:ilvl w:val="0"/>
                <w:numId w:val="6"/>
              </w:numPr>
              <w:ind w:left="357" w:hanging="357"/>
            </w:pPr>
            <w:r>
              <w:t xml:space="preserve">Det er innarbeidet bestemmelser om godkjenning </w:t>
            </w:r>
            <w:r w:rsidR="002C1A63">
              <w:t xml:space="preserve">med forbehold </w:t>
            </w:r>
            <w:r>
              <w:t>og konsekvenser av at betingelse</w:t>
            </w:r>
            <w:r w:rsidR="002C1A63">
              <w:t>ne</w:t>
            </w:r>
            <w:r>
              <w:t xml:space="preserve"> ikke overholdes. Hvis betingelsene ikke overholdes regnes løsning</w:t>
            </w:r>
            <w:r w:rsidR="002C1A63">
              <w:t>en</w:t>
            </w:r>
            <w:r>
              <w:t xml:space="preserve"> som forsinket fra utløpet av akseptansetestperioden (da løsningen ble godkjent med forbehold)</w:t>
            </w:r>
            <w:r w:rsidR="002C1A63">
              <w:t>, altså som om den ikke var godkjent</w:t>
            </w:r>
            <w:r>
              <w:t>.</w:t>
            </w:r>
          </w:p>
          <w:p w:rsidR="002C1A63" w:rsidRDefault="002C1A63" w:rsidP="00B0589F">
            <w:pPr>
              <w:pStyle w:val="Listeavsnitt"/>
              <w:numPr>
                <w:ilvl w:val="0"/>
                <w:numId w:val="6"/>
              </w:numPr>
              <w:ind w:left="357" w:hanging="357"/>
            </w:pPr>
            <w:r>
              <w:t>Tilsvarende gjelder for feil som meldes til leverandøren i løpet av de siste fem virkedager før akseptansetestens avslutning.</w:t>
            </w:r>
          </w:p>
        </w:tc>
        <w:tc>
          <w:tcPr>
            <w:tcW w:w="5343" w:type="dxa"/>
          </w:tcPr>
          <w:p w:rsidR="00C00892" w:rsidRDefault="00CA58EC" w:rsidP="00CA58EC">
            <w:r>
              <w:t>I gjeldende versjon av SSA</w:t>
            </w:r>
            <w:r w:rsidR="00E80A0C">
              <w:t>-T</w:t>
            </w:r>
            <w:r>
              <w:t xml:space="preserve"> er det uklart hva som er betydningen av å godkjenne med forbehold og konsekvensene dersom vilkårene ikke oppfylles. Dette er nå forsøkt avklart slik at det skal bli enklere og mer praktisk for kunden å benytte denne muligheten.</w:t>
            </w:r>
          </w:p>
        </w:tc>
      </w:tr>
      <w:tr w:rsidR="00416CDB" w:rsidTr="00701EB6">
        <w:tc>
          <w:tcPr>
            <w:tcW w:w="2376" w:type="dxa"/>
          </w:tcPr>
          <w:p w:rsidR="00416CDB" w:rsidRDefault="00416CDB" w:rsidP="00C00892">
            <w:r>
              <w:t>Godkjenningsperioden</w:t>
            </w:r>
          </w:p>
        </w:tc>
        <w:tc>
          <w:tcPr>
            <w:tcW w:w="1418" w:type="dxa"/>
          </w:tcPr>
          <w:p w:rsidR="00416CDB" w:rsidRDefault="000A52EA">
            <w:r>
              <w:t>2.5.</w:t>
            </w:r>
            <w:r w:rsidR="00B0589F">
              <w:t>2 og 2.5.</w:t>
            </w:r>
            <w:r>
              <w:t>3</w:t>
            </w:r>
          </w:p>
        </w:tc>
        <w:tc>
          <w:tcPr>
            <w:tcW w:w="4961" w:type="dxa"/>
          </w:tcPr>
          <w:p w:rsidR="00C5403A" w:rsidRDefault="00C5403A" w:rsidP="00B0589F">
            <w:pPr>
              <w:pStyle w:val="Listeavsnitt"/>
              <w:numPr>
                <w:ilvl w:val="0"/>
                <w:numId w:val="7"/>
              </w:numPr>
              <w:ind w:left="357" w:hanging="357"/>
            </w:pPr>
            <w:r>
              <w:t>Bestemmelsene om godkjenningsperioden er omarbeidet og forenklet. Det kan være utarbeidet egen oppfølgingsplan for godkjenningsperioden.</w:t>
            </w:r>
            <w:r w:rsidR="00EE5306">
              <w:t xml:space="preserve"> Kunden kan ikke nekte å godkjenne leveransen på grunn av forhold som er uvesentlige for </w:t>
            </w:r>
            <w:r w:rsidR="002670D1">
              <w:t>k</w:t>
            </w:r>
            <w:r w:rsidR="00EE5306">
              <w:t>undens bruk av leveransen. Hvis ikke annet er avtalt i bilag 5, gjelder følgende: A-feil og 3 eller flere B-feil anses hver for seg som vesentlige.</w:t>
            </w:r>
          </w:p>
          <w:p w:rsidR="00292C7A" w:rsidRDefault="00292C7A" w:rsidP="00B0589F">
            <w:pPr>
              <w:pStyle w:val="Listeavsnitt"/>
              <w:numPr>
                <w:ilvl w:val="0"/>
                <w:numId w:val="7"/>
              </w:numPr>
              <w:ind w:left="357" w:hanging="357"/>
            </w:pPr>
            <w:r>
              <w:t>Det er tatt inn bestemmelser om godkjenning med forbehold</w:t>
            </w:r>
            <w:r w:rsidR="000A52EA">
              <w:t xml:space="preserve"> og sent innmeldte feil</w:t>
            </w:r>
            <w:r>
              <w:t>, se tilsvarende for akseptansetesten ovenfor.</w:t>
            </w:r>
          </w:p>
          <w:p w:rsidR="00416CDB" w:rsidRDefault="00416CDB" w:rsidP="00B0589F">
            <w:pPr>
              <w:pStyle w:val="Listeavsnitt"/>
              <w:numPr>
                <w:ilvl w:val="0"/>
                <w:numId w:val="7"/>
              </w:numPr>
              <w:ind w:left="357" w:hanging="357"/>
            </w:pPr>
            <w:r>
              <w:t>Feil som kunden burde ha oppdaget i godkjenningsperioden kan ikke senere kreves rettet som garantifeil.</w:t>
            </w:r>
          </w:p>
          <w:p w:rsidR="00B0589F" w:rsidRDefault="00B0589F" w:rsidP="00B0589F">
            <w:pPr>
              <w:pStyle w:val="Listeavsnitt"/>
              <w:numPr>
                <w:ilvl w:val="0"/>
                <w:numId w:val="7"/>
              </w:numPr>
              <w:ind w:left="357" w:hanging="357"/>
            </w:pPr>
            <w:r>
              <w:t>Det er gjort et særlig unntak fra plikten til å rette feil i løpet av godkjenningsperioden for "</w:t>
            </w:r>
            <w:r w:rsidRPr="000012BB">
              <w:t>feil som bare har liten</w:t>
            </w:r>
            <w:r>
              <w:t xml:space="preserve"> betydning for K</w:t>
            </w:r>
            <w:r w:rsidRPr="000012BB">
              <w:t>undens bruk av løsningen</w:t>
            </w:r>
            <w:r>
              <w:t>,</w:t>
            </w:r>
            <w:r w:rsidRPr="000012BB">
              <w:t xml:space="preserve"> og som vil bli rettet i en planlagt oppdatering av programvaren innen rimelig tid og senest innen utløpet av garantiperioden</w:t>
            </w:r>
            <w:r>
              <w:t xml:space="preserve">, og som det derfor </w:t>
            </w:r>
            <w:r w:rsidRPr="000012BB">
              <w:t xml:space="preserve">ville være uforholdsmessig ressurskrevende for </w:t>
            </w:r>
            <w:r>
              <w:t>L</w:t>
            </w:r>
            <w:r w:rsidRPr="000012BB">
              <w:t>everandøren å rette i godkjenningsperioden.</w:t>
            </w:r>
            <w:r>
              <w:t>" Feilene skal uansett være rettet senest innen utløpet av garantiperioden.</w:t>
            </w:r>
          </w:p>
        </w:tc>
        <w:tc>
          <w:tcPr>
            <w:tcW w:w="5343" w:type="dxa"/>
          </w:tcPr>
          <w:p w:rsidR="00EE5306" w:rsidRDefault="00EE5306" w:rsidP="00B0589F">
            <w:pPr>
              <w:pStyle w:val="Listeavsnitt"/>
              <w:numPr>
                <w:ilvl w:val="0"/>
                <w:numId w:val="8"/>
              </w:numPr>
              <w:ind w:left="357" w:hanging="357"/>
            </w:pPr>
            <w:r>
              <w:t>I forrige versjon ble A- og B-feil hver for seg ansett vesentlige. Med mindre annet er avtalt kan kunden nå ikke nekte å godkjenne med en eller to B-feil.</w:t>
            </w:r>
          </w:p>
          <w:p w:rsidR="00416CDB" w:rsidRDefault="00486814" w:rsidP="00B0589F">
            <w:pPr>
              <w:pStyle w:val="Listeavsnitt"/>
              <w:numPr>
                <w:ilvl w:val="0"/>
                <w:numId w:val="8"/>
              </w:numPr>
              <w:ind w:left="357" w:hanging="357"/>
            </w:pPr>
            <w:r>
              <w:t xml:space="preserve">Feil som burde vært oppdaget under godkjenningsperioden </w:t>
            </w:r>
            <w:r w:rsidR="003211A3">
              <w:t>må håndteres under vedlikeholdsavtalen. Avhengig av hva som er inkludert i vedlikeholdsavtalen kan kunden måtte betale for utbedring av slike feil.</w:t>
            </w:r>
          </w:p>
        </w:tc>
      </w:tr>
      <w:tr w:rsidR="00B35B13" w:rsidTr="00701EB6">
        <w:tc>
          <w:tcPr>
            <w:tcW w:w="2376" w:type="dxa"/>
          </w:tcPr>
          <w:p w:rsidR="00B35B13" w:rsidRDefault="00B35B13" w:rsidP="00C00892">
            <w:r>
              <w:t>Godkjenningsperioden – særlig om delleveranser</w:t>
            </w:r>
          </w:p>
        </w:tc>
        <w:tc>
          <w:tcPr>
            <w:tcW w:w="1418" w:type="dxa"/>
          </w:tcPr>
          <w:p w:rsidR="00B35B13" w:rsidRDefault="00B35B13" w:rsidP="002670D1">
            <w:r>
              <w:t>2.1.4 annet og tredje avsnitt</w:t>
            </w:r>
          </w:p>
        </w:tc>
        <w:tc>
          <w:tcPr>
            <w:tcW w:w="4961" w:type="dxa"/>
          </w:tcPr>
          <w:p w:rsidR="00B35B13" w:rsidRDefault="00B35B13" w:rsidP="00F179BF">
            <w:r>
              <w:t xml:space="preserve">Se merknad til akseptansetest av delleveranser ovenfor. </w:t>
            </w:r>
            <w:r w:rsidRPr="006F1DD5">
              <w:t>Med mindre annet fremgår av bilag 4</w:t>
            </w:r>
            <w:r>
              <w:t>,</w:t>
            </w:r>
            <w:r w:rsidRPr="006F1DD5">
              <w:t xml:space="preserve"> er godkjenningsperioden 1 </w:t>
            </w:r>
            <w:r>
              <w:t xml:space="preserve">(en) </w:t>
            </w:r>
            <w:r w:rsidRPr="006F1DD5">
              <w:t>måned for hver enkelt delleveranse</w:t>
            </w:r>
            <w:r>
              <w:t xml:space="preserve"> og 3 (tre) måneder i forbindelse med siste delleveranse. En eller flere delleveranser kan unntas fra samlet testing ved å angi det i bilag 4.</w:t>
            </w:r>
          </w:p>
        </w:tc>
        <w:tc>
          <w:tcPr>
            <w:tcW w:w="5343" w:type="dxa"/>
          </w:tcPr>
          <w:p w:rsidR="00B35B13" w:rsidRDefault="00B35B13" w:rsidP="00B35B13">
            <w:r>
              <w:t xml:space="preserve">Kunden bør vurdere om én måneds akseptansetest for den enkelte delleveranse er tilstrekkelig i og med at senere regresjonstesting bare skal verifisere at funksjonaliteten fortsatt fungerer slik den ble godkjent. Avhengig av delleveransens omfang kan én måned være i korteste laget. </w:t>
            </w:r>
          </w:p>
        </w:tc>
      </w:tr>
      <w:tr w:rsidR="00416CDB" w:rsidTr="00701EB6">
        <w:tc>
          <w:tcPr>
            <w:tcW w:w="2376" w:type="dxa"/>
          </w:tcPr>
          <w:p w:rsidR="00416CDB" w:rsidRDefault="00014674" w:rsidP="00C00892">
            <w:r>
              <w:t>Avbestilling i spesifiseringsfasen</w:t>
            </w:r>
          </w:p>
        </w:tc>
        <w:tc>
          <w:tcPr>
            <w:tcW w:w="1418" w:type="dxa"/>
          </w:tcPr>
          <w:p w:rsidR="00416CDB" w:rsidRDefault="00352B05" w:rsidP="002670D1">
            <w:r>
              <w:t>2.6.1 annet avsnitt, siste setning</w:t>
            </w:r>
          </w:p>
        </w:tc>
        <w:tc>
          <w:tcPr>
            <w:tcW w:w="4961" w:type="dxa"/>
          </w:tcPr>
          <w:p w:rsidR="00416CDB" w:rsidRDefault="00D71097" w:rsidP="00352B05">
            <w:r>
              <w:t>Det er foretatt n</w:t>
            </w:r>
            <w:r w:rsidR="00014674">
              <w:t>oe</w:t>
            </w:r>
            <w:r>
              <w:t>n</w:t>
            </w:r>
            <w:r w:rsidR="00014674">
              <w:t xml:space="preserve"> justeringer i bestemmelsene om avbestilling i spesifiseringsfasen.</w:t>
            </w:r>
            <w:r w:rsidR="00352B05">
              <w:t xml:space="preserve"> Det er bl.a. presisert at s</w:t>
            </w:r>
            <w:r w:rsidR="00352B05" w:rsidRPr="000F204A">
              <w:t xml:space="preserve">amlet avbestillingsvederlag for spesifikasjonsfasen </w:t>
            </w:r>
            <w:r w:rsidR="00352B05" w:rsidRPr="00405836">
              <w:t xml:space="preserve">aldri </w:t>
            </w:r>
            <w:r w:rsidR="00352B05">
              <w:t xml:space="preserve">kan </w:t>
            </w:r>
            <w:r w:rsidR="00352B05" w:rsidRPr="00405836">
              <w:t>overstige det vederlag</w:t>
            </w:r>
            <w:r w:rsidR="00352B05" w:rsidRPr="006D412B">
              <w:t xml:space="preserve"> for spesifikasjonsfasen</w:t>
            </w:r>
            <w:r w:rsidR="00352B05" w:rsidRPr="00203698">
              <w:t xml:space="preserve"> som er avtalt i bilag 7</w:t>
            </w:r>
            <w:r w:rsidR="002670D1">
              <w:t>.</w:t>
            </w:r>
          </w:p>
        </w:tc>
        <w:tc>
          <w:tcPr>
            <w:tcW w:w="5343" w:type="dxa"/>
          </w:tcPr>
          <w:p w:rsidR="00416CDB" w:rsidRDefault="00AB13A6" w:rsidP="00AB13A6">
            <w:r>
              <w:t>Presiseringen reflekterer det synspunkt at d</w:t>
            </w:r>
            <w:r w:rsidR="00352B05">
              <w:t xml:space="preserve">et aldri </w:t>
            </w:r>
            <w:r>
              <w:t xml:space="preserve">bør </w:t>
            </w:r>
            <w:r w:rsidR="00352B05">
              <w:t>koste mer å avbestille enn å gjennomføre.</w:t>
            </w:r>
          </w:p>
        </w:tc>
      </w:tr>
      <w:tr w:rsidR="00014674" w:rsidTr="00701EB6">
        <w:tc>
          <w:tcPr>
            <w:tcW w:w="2376" w:type="dxa"/>
          </w:tcPr>
          <w:p w:rsidR="00014674" w:rsidRDefault="00227262" w:rsidP="00C00892">
            <w:r>
              <w:t>Omtvistede endringer</w:t>
            </w:r>
          </w:p>
        </w:tc>
        <w:tc>
          <w:tcPr>
            <w:tcW w:w="1418" w:type="dxa"/>
          </w:tcPr>
          <w:p w:rsidR="00014674" w:rsidRDefault="00D66DCF" w:rsidP="002670D1">
            <w:r>
              <w:t>3.8 tredje og fjerde avsnitt</w:t>
            </w:r>
          </w:p>
        </w:tc>
        <w:tc>
          <w:tcPr>
            <w:tcW w:w="4961" w:type="dxa"/>
          </w:tcPr>
          <w:p w:rsidR="00014674" w:rsidRDefault="00F6102B" w:rsidP="00CA58EC">
            <w:r>
              <w:t>Regelen om at leverandøren har plikt til å utføre omtvistede endringsordre ("hoppeplikt") mot sikkerhetsstillelse i SSA-D 2013 er byttet ut med en regel om at kunden må utbetale halvparten av det beløpet leverandøren mener den har krav på før hoppeplikten oppstår. Beløpet avregnes når tvisten løses. Leverandøren kan "løse" seg fra hoppeplikten ved å eskalere saken inn for en av tvisteløsningsordningene, men bærer da risikoen for forsinkelser og SLA brudd hvis det viser seg at kundens bestridelse av endringsordren var korrekt.</w:t>
            </w:r>
          </w:p>
        </w:tc>
        <w:tc>
          <w:tcPr>
            <w:tcW w:w="5343" w:type="dxa"/>
          </w:tcPr>
          <w:p w:rsidR="00014674" w:rsidRDefault="00227262" w:rsidP="00B0589F">
            <w:r>
              <w:t xml:space="preserve">Et stadig tilbakevendende </w:t>
            </w:r>
            <w:r w:rsidR="00B0589F">
              <w:t>ønske om endring fra leverandørene i tidligere SSA-T</w:t>
            </w:r>
            <w:r>
              <w:t xml:space="preserve"> </w:t>
            </w:r>
            <w:r w:rsidR="00D66DCF">
              <w:t>har vært</w:t>
            </w:r>
            <w:r>
              <w:t xml:space="preserve"> </w:t>
            </w:r>
            <w:r w:rsidR="00B0589F">
              <w:t xml:space="preserve">knyttet til </w:t>
            </w:r>
            <w:r>
              <w:t xml:space="preserve">hvorvidt leverandøren må utføre arbeid under en omtvistet endringsordre uten å få noe betalt før tvisten </w:t>
            </w:r>
            <w:r w:rsidR="00D66DCF">
              <w:t>er</w:t>
            </w:r>
            <w:r>
              <w:t xml:space="preserve"> avklart. Dette er nå lempet ved at leverandøren kan kreve </w:t>
            </w:r>
            <w:r w:rsidR="00D66DCF">
              <w:t xml:space="preserve">(midlertidig) </w:t>
            </w:r>
            <w:r>
              <w:t>å få utbetalt 50</w:t>
            </w:r>
            <w:r w:rsidR="002670D1">
              <w:t xml:space="preserve"> </w:t>
            </w:r>
            <w:r>
              <w:t>% av estimert vederlag eller suspendere "hoppeplikten" ved å utløse kontraktens tvisteløsningsmekanismer.</w:t>
            </w:r>
            <w:r w:rsidR="00D66DCF">
              <w:t xml:space="preserve"> </w:t>
            </w:r>
            <w:r w:rsidR="00020CC5">
              <w:t xml:space="preserve">Ved utløsning av kontraktens tvisteløsningsmekanismer har leverandøren risiko for forsinkelser hvis det viser seg at han tok feil i sin antagelse om at endringen var utenfor det avtalte. </w:t>
            </w:r>
            <w:r w:rsidR="00D66DCF">
              <w:t>Hvis det betales midlertidig vederlag må leverandøren kreve avgjørelse av den omtvistede endringen iht</w:t>
            </w:r>
            <w:r w:rsidR="002670D1">
              <w:t>.</w:t>
            </w:r>
            <w:r w:rsidR="00D66DCF">
              <w:t xml:space="preserve"> punkt 3.9 innen tre måneder etter at det er betalt, ellers går det til motregning i neste betalingsmilepæl. </w:t>
            </w:r>
          </w:p>
        </w:tc>
      </w:tr>
      <w:tr w:rsidR="00B0589F" w:rsidTr="00701EB6">
        <w:tc>
          <w:tcPr>
            <w:tcW w:w="2376" w:type="dxa"/>
          </w:tcPr>
          <w:p w:rsidR="00B0589F" w:rsidRDefault="00B0589F">
            <w:r>
              <w:t>Garanti</w:t>
            </w:r>
          </w:p>
        </w:tc>
        <w:tc>
          <w:tcPr>
            <w:tcW w:w="1418" w:type="dxa"/>
          </w:tcPr>
          <w:p w:rsidR="00B0589F" w:rsidRDefault="00B0589F">
            <w:r>
              <w:t>4.1</w:t>
            </w:r>
          </w:p>
        </w:tc>
        <w:tc>
          <w:tcPr>
            <w:tcW w:w="4961" w:type="dxa"/>
          </w:tcPr>
          <w:p w:rsidR="00B0589F" w:rsidRDefault="00B0589F" w:rsidP="00B0589F">
            <w:r>
              <w:t>Det er presisert at d</w:t>
            </w:r>
            <w:r w:rsidRPr="00B0589F">
              <w:t xml:space="preserve">et ikke </w:t>
            </w:r>
            <w:r>
              <w:t xml:space="preserve">kan </w:t>
            </w:r>
            <w:r w:rsidRPr="00B0589F">
              <w:t xml:space="preserve">kreves erstatning eller andre misligholdsbeføyelser knyttet til mangler som </w:t>
            </w:r>
            <w:r w:rsidRPr="00B0589F">
              <w:rPr>
                <w:i/>
              </w:rPr>
              <w:t>blir utbedret</w:t>
            </w:r>
            <w:r w:rsidRPr="00B0589F">
              <w:t xml:space="preserve"> i henhold til garantiansvaret.</w:t>
            </w:r>
          </w:p>
        </w:tc>
        <w:tc>
          <w:tcPr>
            <w:tcW w:w="5343" w:type="dxa"/>
          </w:tcPr>
          <w:p w:rsidR="00B0589F" w:rsidRDefault="00B0589F" w:rsidP="000833D1"/>
        </w:tc>
      </w:tr>
      <w:tr w:rsidR="00D57DCC" w:rsidTr="00701EB6">
        <w:tc>
          <w:tcPr>
            <w:tcW w:w="2376" w:type="dxa"/>
          </w:tcPr>
          <w:p w:rsidR="00D57DCC" w:rsidRDefault="00D57DCC">
            <w:r>
              <w:t>Tredjeparts programvare</w:t>
            </w:r>
          </w:p>
        </w:tc>
        <w:tc>
          <w:tcPr>
            <w:tcW w:w="1418" w:type="dxa"/>
          </w:tcPr>
          <w:p w:rsidR="00D57DCC" w:rsidRDefault="00D57DCC">
            <w:r>
              <w:t>Bilag 10 og punkt 5.1</w:t>
            </w:r>
            <w:r w:rsidR="0099562B">
              <w:t>, se også punkt 1.3. nr. 4.</w:t>
            </w:r>
          </w:p>
        </w:tc>
        <w:tc>
          <w:tcPr>
            <w:tcW w:w="4961" w:type="dxa"/>
          </w:tcPr>
          <w:p w:rsidR="00D57DCC" w:rsidRDefault="00D57DCC" w:rsidP="007C6B15">
            <w:r>
              <w:t>Det er innarbeidet bestemmelser for å håndtere bruk av tredjeparts programvare som må leveres under standard lisensvilkår.</w:t>
            </w:r>
          </w:p>
        </w:tc>
        <w:tc>
          <w:tcPr>
            <w:tcW w:w="5343" w:type="dxa"/>
          </w:tcPr>
          <w:p w:rsidR="00D57DCC" w:rsidRPr="00BD36FD" w:rsidRDefault="00D57DCC" w:rsidP="000833D1">
            <w:r>
              <w:t>Tredjeparts programvare vil som hovedregel måtte leveres under tredjepart</w:t>
            </w:r>
            <w:r w:rsidR="00D66DCF">
              <w:t>s</w:t>
            </w:r>
            <w:r>
              <w:t xml:space="preserve"> standard lisensvilkår. Den nye reguleringen innebærer bl.a. at det ikke automatisk vil bli ansett som et forbehold </w:t>
            </w:r>
            <w:r w:rsidR="00D66DCF">
              <w:t xml:space="preserve">til kontrakten hvis </w:t>
            </w:r>
            <w:r>
              <w:t xml:space="preserve">leverandøren legger frem tredjeparts standard lisensvilkår som del av tilbudet. Det er imidlertid stilt visse krav til disposisjonsrettens </w:t>
            </w:r>
            <w:r w:rsidR="003422CF">
              <w:t xml:space="preserve">(lisensens) </w:t>
            </w:r>
            <w:r>
              <w:t xml:space="preserve">omfang. Den må være dekkende for formålet med anskaffelsen og den bruk kunden har beskrevet. </w:t>
            </w:r>
            <w:r w:rsidR="00D66DCF">
              <w:t>Videre har l</w:t>
            </w:r>
            <w:r>
              <w:t>everandøren ansvaret for at løsningen har den avtalte funksjonalitet, og løsningen skal testes og godkjennes iht</w:t>
            </w:r>
            <w:r w:rsidR="002670D1">
              <w:t>.</w:t>
            </w:r>
            <w:r>
              <w:t xml:space="preserve"> SSA</w:t>
            </w:r>
            <w:r w:rsidR="00F179BF">
              <w:t>-T</w:t>
            </w:r>
            <w:r>
              <w:t xml:space="preserve"> uavhengig av hva som gjelder for den enkelte programvarekomponent. Leverandøren har også ansvar for å rette feil i løsningen, også om feilen skyldes feil i standard programvare. Det er imidlertid innarbeidet en avgrensning av leverandørens feilrettingsansvar for feil som skyldes at programvaren ikke opptrer iht</w:t>
            </w:r>
            <w:r w:rsidR="002670D1">
              <w:t>.</w:t>
            </w:r>
            <w:r>
              <w:t xml:space="preserve"> programvare</w:t>
            </w:r>
            <w:r w:rsidR="00D66DCF">
              <w:softHyphen/>
            </w:r>
            <w:r>
              <w:t xml:space="preserve">leverandørens spesifikasjoner, </w:t>
            </w:r>
            <w:r w:rsidRPr="00D66DCF">
              <w:t xml:space="preserve">og </w:t>
            </w:r>
            <w:r w:rsidR="00D66DCF">
              <w:t xml:space="preserve">som ikke kan rettes uten å </w:t>
            </w:r>
            <w:r>
              <w:t xml:space="preserve">ha tilgang til kildekoden til standardprogramvaren. I slike tilfeller er leverandørens forpliktelser begrenset til å melde feilen, følge opp feilrettingen hos programvareleverandøren, og </w:t>
            </w:r>
            <w:r w:rsidR="00404117">
              <w:t xml:space="preserve">gjøre rettet versjon tilgjengelig for kunden </w:t>
            </w:r>
            <w:r>
              <w:t xml:space="preserve">når den er klar. Feil som faller i denne kategorien gir ikke grunnlag for å nekte å godkjenne løsningen. Hvis det ikke har lykkes leverandøren å få til dette innen utgangen av garantiperioden, kan kunden kreve prisavslag </w:t>
            </w:r>
            <w:r w:rsidR="000833D1">
              <w:t xml:space="preserve">og evt. erstatning </w:t>
            </w:r>
            <w:r>
              <w:t xml:space="preserve">hvis vilkårene for dette er oppfylt. </w:t>
            </w:r>
            <w:r w:rsidR="00404117">
              <w:t>Leverandøren skal søke å finne en midlertidig løsning mens feilen rettes.</w:t>
            </w:r>
            <w:r w:rsidR="009322B8">
              <w:t xml:space="preserve"> </w:t>
            </w:r>
          </w:p>
        </w:tc>
      </w:tr>
      <w:tr w:rsidR="003422CF" w:rsidTr="002C7C59">
        <w:tc>
          <w:tcPr>
            <w:tcW w:w="2376" w:type="dxa"/>
          </w:tcPr>
          <w:p w:rsidR="003422CF" w:rsidRDefault="003422CF" w:rsidP="002C7C59">
            <w:r>
              <w:t>Lønns- og arbeidsvilkår</w:t>
            </w:r>
          </w:p>
        </w:tc>
        <w:tc>
          <w:tcPr>
            <w:tcW w:w="1418" w:type="dxa"/>
          </w:tcPr>
          <w:p w:rsidR="003422CF" w:rsidRDefault="003422CF" w:rsidP="002C7C59">
            <w:r>
              <w:t>5.5</w:t>
            </w:r>
          </w:p>
        </w:tc>
        <w:tc>
          <w:tcPr>
            <w:tcW w:w="4961" w:type="dxa"/>
          </w:tcPr>
          <w:p w:rsidR="003422CF" w:rsidRDefault="00964878" w:rsidP="00CD059B">
            <w:r>
              <w:t>Det er presisert at bestemmelsen</w:t>
            </w:r>
            <w:r w:rsidR="00AC3572">
              <w:t xml:space="preserve">e om </w:t>
            </w:r>
            <w:r w:rsidR="00CD059B">
              <w:t xml:space="preserve">vilkår iht forskrift om </w:t>
            </w:r>
            <w:r w:rsidR="00AC3572">
              <w:t>allmengjort tariffavtale</w:t>
            </w:r>
            <w:r>
              <w:t xml:space="preserve"> gjelder egne og "eventuelle underleverandørers ansatte som direkte medvirker til å oppfylle Leverandørens forpliktelser under denne avtalen"</w:t>
            </w:r>
            <w:r w:rsidR="00AC3572">
              <w:t xml:space="preserve">. Bestemmelsen om landsomfattende tariffavtale for den aktuelle bransje gjelder de samme ansatte, men </w:t>
            </w:r>
            <w:r>
              <w:t>bare for arbeid som utføres i Norge</w:t>
            </w:r>
            <w:r w:rsidR="003422CF">
              <w:t>.</w:t>
            </w:r>
          </w:p>
        </w:tc>
        <w:tc>
          <w:tcPr>
            <w:tcW w:w="5343" w:type="dxa"/>
          </w:tcPr>
          <w:p w:rsidR="003422CF" w:rsidRDefault="003422CF" w:rsidP="002C7C59"/>
        </w:tc>
      </w:tr>
      <w:tr w:rsidR="00594CAC" w:rsidTr="00537C56">
        <w:tc>
          <w:tcPr>
            <w:tcW w:w="2376" w:type="dxa"/>
          </w:tcPr>
          <w:p w:rsidR="00594CAC" w:rsidRDefault="00594CAC" w:rsidP="00537C56">
            <w:r>
              <w:t>Skriftlighet</w:t>
            </w:r>
          </w:p>
        </w:tc>
        <w:tc>
          <w:tcPr>
            <w:tcW w:w="1418" w:type="dxa"/>
          </w:tcPr>
          <w:p w:rsidR="00594CAC" w:rsidRDefault="00594CAC" w:rsidP="00537C56">
            <w:r>
              <w:t>7.4</w:t>
            </w:r>
          </w:p>
        </w:tc>
        <w:tc>
          <w:tcPr>
            <w:tcW w:w="4961" w:type="dxa"/>
          </w:tcPr>
          <w:p w:rsidR="00594CAC" w:rsidRDefault="00594CAC" w:rsidP="00537C56">
            <w:r>
              <w:t>Det er presisert at a</w:t>
            </w:r>
            <w:r w:rsidRPr="009B1D79">
              <w:t>lle varsler, krav eller andre meddelelser knyttet til denne avtalen skal gis skriftlig</w:t>
            </w:r>
            <w:r>
              <w:t xml:space="preserve"> til den postadressen eller elektroniske adressen som er oppgitt på avtalens forside med mindre partene har avtalt noe annet i bilag 6 for den aktuelle type henvendelse.</w:t>
            </w:r>
          </w:p>
        </w:tc>
        <w:tc>
          <w:tcPr>
            <w:tcW w:w="5343" w:type="dxa"/>
          </w:tcPr>
          <w:p w:rsidR="00594CAC" w:rsidRDefault="00594CAC" w:rsidP="00537C56">
            <w:r>
              <w:t>Bestemmelsen legger til rette for, og minner om, at partene kan avtale en hensiktsmessig metode for bruk av elektronisk meldingsformidling (e-post eller elektronisk samhandlingsløsning).</w:t>
            </w:r>
          </w:p>
        </w:tc>
      </w:tr>
      <w:tr w:rsidR="00D52511" w:rsidTr="00537C56">
        <w:tc>
          <w:tcPr>
            <w:tcW w:w="2376" w:type="dxa"/>
          </w:tcPr>
          <w:p w:rsidR="00D52511" w:rsidRDefault="00D52511" w:rsidP="00537C56">
            <w:r w:rsidRPr="00583009">
              <w:t>Prisendringer</w:t>
            </w:r>
          </w:p>
        </w:tc>
        <w:tc>
          <w:tcPr>
            <w:tcW w:w="1418" w:type="dxa"/>
          </w:tcPr>
          <w:p w:rsidR="00D52511" w:rsidRDefault="00D52511" w:rsidP="00D52511">
            <w:r w:rsidRPr="00583009">
              <w:t xml:space="preserve">Punkt </w:t>
            </w:r>
            <w:r>
              <w:t>8</w:t>
            </w:r>
            <w:r w:rsidRPr="00583009">
              <w:t>.5</w:t>
            </w:r>
          </w:p>
        </w:tc>
        <w:tc>
          <w:tcPr>
            <w:tcW w:w="4961" w:type="dxa"/>
          </w:tcPr>
          <w:p w:rsidR="00D52511" w:rsidRDefault="00D52511" w:rsidP="00537C56">
            <w:r w:rsidRPr="00583009">
              <w:t xml:space="preserve">Reglene om </w:t>
            </w:r>
            <w:r>
              <w:t xml:space="preserve">vederlagsjustering ved </w:t>
            </w:r>
            <w:r w:rsidRPr="00583009">
              <w:t xml:space="preserve">endringer i valutakurser </w:t>
            </w:r>
            <w:r>
              <w:t>samt</w:t>
            </w:r>
            <w:r w:rsidRPr="00583009">
              <w:t xml:space="preserve"> konsumprisjustering er fjernet</w:t>
            </w:r>
            <w:r>
              <w:t xml:space="preserve"> fra standardteksten</w:t>
            </w:r>
            <w:r w:rsidRPr="00583009">
              <w:t>.</w:t>
            </w:r>
            <w:r>
              <w:t xml:space="preserve"> </w:t>
            </w:r>
          </w:p>
        </w:tc>
        <w:tc>
          <w:tcPr>
            <w:tcW w:w="5343" w:type="dxa"/>
          </w:tcPr>
          <w:p w:rsidR="00D52511" w:rsidRDefault="00D52511" w:rsidP="00537C56">
            <w:r w:rsidRPr="00434FA0">
              <w:t>Fjerningen av reglene om vederlagsjustering ved endringer i valutakurser innebærer at leverandøren må bruke andre virkemidler for å sikre seg mot valutarisiko.</w:t>
            </w:r>
            <w:r>
              <w:t xml:space="preserve"> Bestemmelser om prisendringer tilpasset den enkelte leveranse kan avtales i bilag 7.</w:t>
            </w:r>
          </w:p>
        </w:tc>
      </w:tr>
      <w:tr w:rsidR="00860926" w:rsidTr="002C7C59">
        <w:tc>
          <w:tcPr>
            <w:tcW w:w="2376" w:type="dxa"/>
          </w:tcPr>
          <w:p w:rsidR="00860926" w:rsidRDefault="00860926" w:rsidP="002C7C59">
            <w:r>
              <w:t>Eksterne rettslige krav</w:t>
            </w:r>
          </w:p>
        </w:tc>
        <w:tc>
          <w:tcPr>
            <w:tcW w:w="1418" w:type="dxa"/>
          </w:tcPr>
          <w:p w:rsidR="00860926" w:rsidRDefault="00860926" w:rsidP="002C7C59">
            <w:r>
              <w:t>9.1</w:t>
            </w:r>
          </w:p>
        </w:tc>
        <w:tc>
          <w:tcPr>
            <w:tcW w:w="4961" w:type="dxa"/>
          </w:tcPr>
          <w:p w:rsidR="00860926" w:rsidRDefault="00860926" w:rsidP="00D0361F">
            <w:r>
              <w:t>Bestemmelsen er forenklet bl.a. ved at eksemple</w:t>
            </w:r>
            <w:r w:rsidR="00D0361F">
              <w:t>ne</w:t>
            </w:r>
            <w:r>
              <w:t xml:space="preserve"> på </w:t>
            </w:r>
            <w:r w:rsidR="00D0361F">
              <w:t xml:space="preserve">det som kunne være </w:t>
            </w:r>
            <w:r>
              <w:t>relevant regelverk er fjernet. Det er presisert at det er kundens ansvar å angi hvilke rettslige krav som er relevante for gjennomføring av avtalen.</w:t>
            </w:r>
          </w:p>
        </w:tc>
        <w:tc>
          <w:tcPr>
            <w:tcW w:w="5343" w:type="dxa"/>
          </w:tcPr>
          <w:p w:rsidR="00860926" w:rsidRDefault="00860926" w:rsidP="002C7C59"/>
        </w:tc>
      </w:tr>
      <w:tr w:rsidR="00860926" w:rsidTr="002C7C59">
        <w:tc>
          <w:tcPr>
            <w:tcW w:w="2376" w:type="dxa"/>
          </w:tcPr>
          <w:p w:rsidR="00860926" w:rsidRDefault="00860926" w:rsidP="002C7C59">
            <w:r>
              <w:t>Informasjonssikkerhet</w:t>
            </w:r>
          </w:p>
        </w:tc>
        <w:tc>
          <w:tcPr>
            <w:tcW w:w="1418" w:type="dxa"/>
          </w:tcPr>
          <w:p w:rsidR="00860926" w:rsidRDefault="00860926" w:rsidP="002C7C59">
            <w:r>
              <w:t>9.2</w:t>
            </w:r>
          </w:p>
        </w:tc>
        <w:tc>
          <w:tcPr>
            <w:tcW w:w="4961" w:type="dxa"/>
          </w:tcPr>
          <w:p w:rsidR="00860926" w:rsidRDefault="00860926" w:rsidP="00EC2D3F">
            <w:r>
              <w:t xml:space="preserve">Det er innarbeidet </w:t>
            </w:r>
            <w:r w:rsidR="00EC2D3F">
              <w:t xml:space="preserve">et generelt </w:t>
            </w:r>
            <w:r>
              <w:t>overordne</w:t>
            </w:r>
            <w:r w:rsidR="00EC2D3F">
              <w:t>t</w:t>
            </w:r>
            <w:r>
              <w:t xml:space="preserve"> krav til forholdsmessig tiltak for å ivareta informasjonssikkerhet</w:t>
            </w:r>
            <w:r w:rsidR="00EC2D3F">
              <w:t xml:space="preserve"> i forbindelse med gjennomføring av leveransen</w:t>
            </w:r>
            <w:r>
              <w:t>.</w:t>
            </w:r>
          </w:p>
        </w:tc>
        <w:tc>
          <w:tcPr>
            <w:tcW w:w="5343" w:type="dxa"/>
          </w:tcPr>
          <w:p w:rsidR="00860926" w:rsidRDefault="00860926" w:rsidP="002C7C59"/>
        </w:tc>
      </w:tr>
      <w:tr w:rsidR="00860926" w:rsidTr="002C7C59">
        <w:tc>
          <w:tcPr>
            <w:tcW w:w="2376" w:type="dxa"/>
          </w:tcPr>
          <w:p w:rsidR="00860926" w:rsidRDefault="00860926" w:rsidP="002C7C59">
            <w:r>
              <w:t>Personopplysninger</w:t>
            </w:r>
          </w:p>
        </w:tc>
        <w:tc>
          <w:tcPr>
            <w:tcW w:w="1418" w:type="dxa"/>
          </w:tcPr>
          <w:p w:rsidR="00860926" w:rsidRDefault="00860926" w:rsidP="002C7C59">
            <w:r>
              <w:t>9.3</w:t>
            </w:r>
          </w:p>
        </w:tc>
        <w:tc>
          <w:tcPr>
            <w:tcW w:w="4961" w:type="dxa"/>
          </w:tcPr>
          <w:p w:rsidR="00860926" w:rsidRDefault="00860926" w:rsidP="00860926">
            <w:r>
              <w:t>Det er innarbeidet en egen bestemmelse om krav til leverandørens behandling av personopplysninger (som databehandler) for de tilfellene der det er relevant (f.eks</w:t>
            </w:r>
            <w:r w:rsidR="00F179BF">
              <w:t>.</w:t>
            </w:r>
            <w:r>
              <w:t xml:space="preserve"> ifm</w:t>
            </w:r>
            <w:r w:rsidR="00F179BF">
              <w:t>.</w:t>
            </w:r>
            <w:r>
              <w:t xml:space="preserve"> konvertering). Det fremgår bl.a. at leverandøren må ivareta krav til informasjonssikkerhet i henhold til personopplysningslovens § 13. Eventuelle underleverandører må godkjennes av kunden. Personopplysninger kan ikke overføres til land utenfor EØS-området (tredjeland) uten kundens skriftlige forhåndssamtykke.</w:t>
            </w:r>
          </w:p>
        </w:tc>
        <w:tc>
          <w:tcPr>
            <w:tcW w:w="5343" w:type="dxa"/>
          </w:tcPr>
          <w:p w:rsidR="00860926" w:rsidRDefault="00860926" w:rsidP="003422CF">
            <w:pPr>
              <w:pStyle w:val="Listeavsnitt"/>
              <w:numPr>
                <w:ilvl w:val="0"/>
                <w:numId w:val="9"/>
              </w:numPr>
              <w:ind w:left="357" w:hanging="357"/>
            </w:pPr>
            <w:r>
              <w:t xml:space="preserve">Bestemmelsen tjener som nødvendig ramme for </w:t>
            </w:r>
            <w:r w:rsidR="003422CF">
              <w:t xml:space="preserve">innholdet i </w:t>
            </w:r>
            <w:r>
              <w:t>en databehandleravtale mellom partene. Det må fremgå av bilag 1 og 2 hvordan behandling av personopplysninger skal skje (hvis behandling av personopplysninger er relevant). Spørsmålet om behandling av personopplysninger skal også vurderes ifm</w:t>
            </w:r>
            <w:r w:rsidR="00F179BF">
              <w:t>.</w:t>
            </w:r>
            <w:r>
              <w:t xml:space="preserve"> planlegging av evt. konvertering, se punkt 2.3.8 annet avsnitt.</w:t>
            </w:r>
          </w:p>
          <w:p w:rsidR="00860926" w:rsidRDefault="00860926" w:rsidP="003422CF">
            <w:pPr>
              <w:pStyle w:val="Listeavsnitt"/>
              <w:numPr>
                <w:ilvl w:val="0"/>
                <w:numId w:val="9"/>
              </w:numPr>
              <w:ind w:left="357" w:hanging="357"/>
            </w:pPr>
            <w:r>
              <w:t>Kravet til skriftlig samtykke før eventuell overføring til tredjeland skal sikre at kunden kan ivareta sin plikt til å sørge for tilstrekkelig rettslig grunnlag før overføring finner sted, jf. personopplysningsloven §§ 29-30.</w:t>
            </w:r>
          </w:p>
        </w:tc>
      </w:tr>
      <w:tr w:rsidR="0069194C" w:rsidTr="00701EB6">
        <w:tc>
          <w:tcPr>
            <w:tcW w:w="2376" w:type="dxa"/>
          </w:tcPr>
          <w:p w:rsidR="0069194C" w:rsidRDefault="0069194C" w:rsidP="00E405AD">
            <w:r>
              <w:t>Deponering av kildekode</w:t>
            </w:r>
            <w:r w:rsidR="0039051F">
              <w:t xml:space="preserve"> mv</w:t>
            </w:r>
          </w:p>
        </w:tc>
        <w:tc>
          <w:tcPr>
            <w:tcW w:w="1418" w:type="dxa"/>
          </w:tcPr>
          <w:p w:rsidR="0069194C" w:rsidRDefault="0069194C" w:rsidP="00E405AD">
            <w:r>
              <w:t>10.2.2</w:t>
            </w:r>
          </w:p>
        </w:tc>
        <w:tc>
          <w:tcPr>
            <w:tcW w:w="4961" w:type="dxa"/>
          </w:tcPr>
          <w:p w:rsidR="0069194C" w:rsidRDefault="0069194C" w:rsidP="0039051F">
            <w:r>
              <w:t>Det er innarbeidet bestemmelser om deponering av kildekode</w:t>
            </w:r>
            <w:r w:rsidR="0039051F">
              <w:t xml:space="preserve"> til standard programvare eller annen løsning som sikrer kunden dersom leverandørens skulle gå konkurs e.l.</w:t>
            </w:r>
          </w:p>
        </w:tc>
        <w:tc>
          <w:tcPr>
            <w:tcW w:w="5343" w:type="dxa"/>
          </w:tcPr>
          <w:p w:rsidR="0069194C" w:rsidRDefault="0069194C" w:rsidP="00F179BF">
            <w:r>
              <w:t>OBS</w:t>
            </w:r>
            <w:r w:rsidR="00F179BF">
              <w:t xml:space="preserve">! </w:t>
            </w:r>
            <w:r>
              <w:t>Bestemmelsen om deponering av kildekode må aktiveres av kunden for å komme til anvendelse.</w:t>
            </w:r>
          </w:p>
        </w:tc>
      </w:tr>
      <w:tr w:rsidR="00E405AD" w:rsidTr="00701EB6">
        <w:tc>
          <w:tcPr>
            <w:tcW w:w="2376" w:type="dxa"/>
          </w:tcPr>
          <w:p w:rsidR="00E405AD" w:rsidRDefault="00E405AD" w:rsidP="00C00892">
            <w:r>
              <w:t>Vedlikeholdbarhet</w:t>
            </w:r>
          </w:p>
        </w:tc>
        <w:tc>
          <w:tcPr>
            <w:tcW w:w="1418" w:type="dxa"/>
          </w:tcPr>
          <w:p w:rsidR="00E405AD" w:rsidRDefault="00E405AD">
            <w:r>
              <w:t>10.2.3</w:t>
            </w:r>
          </w:p>
        </w:tc>
        <w:tc>
          <w:tcPr>
            <w:tcW w:w="4961" w:type="dxa"/>
          </w:tcPr>
          <w:p w:rsidR="00E405AD" w:rsidRDefault="00E405AD" w:rsidP="00CA58EC">
            <w:r>
              <w:t>Det er innarbeidet en ny bestemmelse om vedlikeholdbarhet der det fremgår at:</w:t>
            </w:r>
          </w:p>
          <w:p w:rsidR="00E405AD" w:rsidRDefault="00E405AD" w:rsidP="00CA58EC">
            <w:r>
              <w:t>"Hvis Leverandøren velger å levere kundetilpasninger i form av utvikling i koden til programvare som ligger til grunn for leveransen, må Leverandøren påse at kundetilpasningene er ivaretatt også i senere versjoner av programvaren."</w:t>
            </w:r>
          </w:p>
        </w:tc>
        <w:tc>
          <w:tcPr>
            <w:tcW w:w="5343" w:type="dxa"/>
          </w:tcPr>
          <w:p w:rsidR="00E405AD" w:rsidRDefault="004F4AA1" w:rsidP="00CA58EC">
            <w:r>
              <w:t xml:space="preserve">  </w:t>
            </w:r>
          </w:p>
        </w:tc>
      </w:tr>
      <w:tr w:rsidR="003422CF" w:rsidTr="00701EB6">
        <w:tc>
          <w:tcPr>
            <w:tcW w:w="2376" w:type="dxa"/>
          </w:tcPr>
          <w:p w:rsidR="003422CF" w:rsidRDefault="003422CF" w:rsidP="00C00892">
            <w:r>
              <w:t>Forsinkelse og dagbøter</w:t>
            </w:r>
          </w:p>
        </w:tc>
        <w:tc>
          <w:tcPr>
            <w:tcW w:w="1418" w:type="dxa"/>
          </w:tcPr>
          <w:p w:rsidR="003422CF" w:rsidRDefault="003422CF">
            <w:r>
              <w:t>11.5.2 annet og tredje avsnitt</w:t>
            </w:r>
          </w:p>
        </w:tc>
        <w:tc>
          <w:tcPr>
            <w:tcW w:w="4961" w:type="dxa"/>
          </w:tcPr>
          <w:p w:rsidR="003422CF" w:rsidRDefault="003422CF" w:rsidP="00AB13A6">
            <w:r>
              <w:t>Det er innført egne bestemmelser om dagbøter for delleveranser</w:t>
            </w:r>
            <w:r w:rsidR="00AB13A6">
              <w:t>. Fremdrift måles for den enkelte delleveranse og dagbøter beregnes av verdien av den eller de delleveranser som er forsinket</w:t>
            </w:r>
            <w:r>
              <w:t>. Det er også innført en viss mulighet for å "tjene inn" tidligere påløpte dagbøter hvis leverandøren overholder milepælen "løsning klar for akseptansetest".</w:t>
            </w:r>
          </w:p>
        </w:tc>
        <w:tc>
          <w:tcPr>
            <w:tcW w:w="5343" w:type="dxa"/>
          </w:tcPr>
          <w:p w:rsidR="003422CF" w:rsidDel="00F179BF" w:rsidRDefault="003422CF" w:rsidP="003422CF"/>
        </w:tc>
      </w:tr>
      <w:tr w:rsidR="003422CF" w:rsidTr="00701EB6">
        <w:tc>
          <w:tcPr>
            <w:tcW w:w="2376" w:type="dxa"/>
          </w:tcPr>
          <w:p w:rsidR="003422CF" w:rsidRDefault="003422CF" w:rsidP="00C00892">
            <w:r>
              <w:t>Heving av delleveranser</w:t>
            </w:r>
          </w:p>
        </w:tc>
        <w:tc>
          <w:tcPr>
            <w:tcW w:w="1418" w:type="dxa"/>
          </w:tcPr>
          <w:p w:rsidR="003422CF" w:rsidRDefault="003422CF">
            <w:r>
              <w:t>11.5.4 tredje avsnitt</w:t>
            </w:r>
          </w:p>
        </w:tc>
        <w:tc>
          <w:tcPr>
            <w:tcW w:w="4961" w:type="dxa"/>
          </w:tcPr>
          <w:p w:rsidR="003422CF" w:rsidRDefault="003422CF" w:rsidP="00756B17">
            <w:r w:rsidRPr="00BB7AD9">
              <w:t xml:space="preserve">Kunden kan heve </w:t>
            </w:r>
            <w:r>
              <w:t>avtalen</w:t>
            </w:r>
            <w:r w:rsidRPr="00BB7AD9">
              <w:t xml:space="preserve"> for en delleveranse når dagbotperioden for den aktuelle delleveransen er utløpt. Hvis forsinkelsen er av en slik art at leveransen som helhet må anses vesentlig forsinket, f.eks. fordi det som allerede er levert </w:t>
            </w:r>
            <w:r>
              <w:t xml:space="preserve">eller senere skal leveres, </w:t>
            </w:r>
            <w:r w:rsidRPr="00BB7AD9">
              <w:t>ikke kan benyttes uten det som er omfattet av hevingsretten, kan Kunden heve med virkning for hele leveransen</w:t>
            </w:r>
            <w:r>
              <w:t>.</w:t>
            </w:r>
          </w:p>
        </w:tc>
        <w:tc>
          <w:tcPr>
            <w:tcW w:w="5343" w:type="dxa"/>
          </w:tcPr>
          <w:p w:rsidR="003422CF" w:rsidDel="00F179BF" w:rsidRDefault="003422CF" w:rsidP="00700BD3"/>
        </w:tc>
      </w:tr>
      <w:tr w:rsidR="003818EA" w:rsidTr="00701EB6">
        <w:tc>
          <w:tcPr>
            <w:tcW w:w="2376" w:type="dxa"/>
          </w:tcPr>
          <w:p w:rsidR="003818EA" w:rsidRDefault="003818EA" w:rsidP="00C00892">
            <w:r>
              <w:t>Erstatning</w:t>
            </w:r>
          </w:p>
        </w:tc>
        <w:tc>
          <w:tcPr>
            <w:tcW w:w="1418" w:type="dxa"/>
          </w:tcPr>
          <w:p w:rsidR="003818EA" w:rsidRDefault="00756B17">
            <w:r>
              <w:t>11.5.6</w:t>
            </w:r>
          </w:p>
        </w:tc>
        <w:tc>
          <w:tcPr>
            <w:tcW w:w="4961" w:type="dxa"/>
          </w:tcPr>
          <w:p w:rsidR="003818EA" w:rsidRDefault="003818EA" w:rsidP="00756B17">
            <w:r>
              <w:t xml:space="preserve">Bestemmelsene om hva som regnes som direkte og indirekte tap er endret og presisert. </w:t>
            </w:r>
            <w:r w:rsidR="00756B17" w:rsidRPr="00354C39">
              <w:t>Indirekte tap omfatter, men er ikke begrenset til, tapt fortjeneste av enhver art, tapte besparelser, tap av data og krav fra tredjeparter med unntak av idømt erstatningsansvar i henhold til punkt 13.4</w:t>
            </w:r>
            <w:r w:rsidR="00756B17">
              <w:t>. Det er presisert i punkt 11.5.5 at merkostnader kunden får ved dekningskjøp regnes som direkte tap.</w:t>
            </w:r>
          </w:p>
        </w:tc>
        <w:tc>
          <w:tcPr>
            <w:tcW w:w="5343" w:type="dxa"/>
          </w:tcPr>
          <w:p w:rsidR="003818EA" w:rsidRDefault="003818EA" w:rsidP="00700BD3">
            <w:r>
              <w:t>SSA</w:t>
            </w:r>
            <w:r w:rsidR="00F179BF">
              <w:t>-T</w:t>
            </w:r>
            <w:r>
              <w:t xml:space="preserve"> ble i 2013 endret slik at indirekte tap ble definert med referanse til kjøpsloven. Denne henvisningen var imidlertid lite egnet da de fleste avtalene har et betydelig tjenesteelement</w:t>
            </w:r>
            <w:r w:rsidR="00F179BF">
              <w:t xml:space="preserve">, </w:t>
            </w:r>
            <w:r>
              <w:t>i liten grad benyttes for kjøp av noe som skal selges videre</w:t>
            </w:r>
            <w:r w:rsidR="00F179BF">
              <w:t xml:space="preserve"> samt at programvare har egenskaper som skiller </w:t>
            </w:r>
            <w:r w:rsidR="00700BD3">
              <w:t>seg</w:t>
            </w:r>
            <w:r w:rsidR="00F179BF">
              <w:t xml:space="preserve"> fra alminnelig løsøre</w:t>
            </w:r>
            <w:r>
              <w:t>. Nåværende avgrensning ligger nærmere det som antas å være standard i markedet.</w:t>
            </w:r>
          </w:p>
        </w:tc>
      </w:tr>
      <w:tr w:rsidR="003818EA" w:rsidTr="00701EB6">
        <w:tc>
          <w:tcPr>
            <w:tcW w:w="2376" w:type="dxa"/>
          </w:tcPr>
          <w:p w:rsidR="003818EA" w:rsidRDefault="00540AB5" w:rsidP="00C00892">
            <w:r>
              <w:t>Tilbakeholdsrett</w:t>
            </w:r>
            <w:r w:rsidR="00DF073C">
              <w:t xml:space="preserve"> - leverandørens</w:t>
            </w:r>
          </w:p>
        </w:tc>
        <w:tc>
          <w:tcPr>
            <w:tcW w:w="1418" w:type="dxa"/>
          </w:tcPr>
          <w:p w:rsidR="003818EA" w:rsidRDefault="00756CA9">
            <w:r>
              <w:t>12.3</w:t>
            </w:r>
          </w:p>
        </w:tc>
        <w:tc>
          <w:tcPr>
            <w:tcW w:w="4961" w:type="dxa"/>
          </w:tcPr>
          <w:p w:rsidR="003818EA" w:rsidRDefault="00540AB5" w:rsidP="00242B59">
            <w:r>
              <w:t>Bestemmelsen om leverandørens tilbakeholdsrett er noe endret slik at leverandøren nå kan holde sin ytelse tilbake hvis kunden vesentlig mislighold</w:t>
            </w:r>
            <w:r w:rsidR="00242B59">
              <w:t>er</w:t>
            </w:r>
            <w:r>
              <w:t xml:space="preserve"> avtalen.</w:t>
            </w:r>
          </w:p>
        </w:tc>
        <w:tc>
          <w:tcPr>
            <w:tcW w:w="5343" w:type="dxa"/>
          </w:tcPr>
          <w:p w:rsidR="00756CA9" w:rsidRDefault="00756CA9" w:rsidP="003E15B8">
            <w:pPr>
              <w:pStyle w:val="Listeavsnitt"/>
              <w:numPr>
                <w:ilvl w:val="0"/>
                <w:numId w:val="10"/>
              </w:numPr>
              <w:ind w:left="357" w:hanging="357"/>
            </w:pPr>
            <w:r>
              <w:t>Se punkt 12.4 om frister for avhjelp før heving kan erklæres. Fristene må antakelig også gjelde mht</w:t>
            </w:r>
            <w:r w:rsidR="00F179BF">
              <w:t>.</w:t>
            </w:r>
            <w:r>
              <w:t xml:space="preserve"> tilbakehold av ytelser.</w:t>
            </w:r>
          </w:p>
          <w:p w:rsidR="003818EA" w:rsidRDefault="00540AB5" w:rsidP="003E15B8">
            <w:pPr>
              <w:pStyle w:val="Listeavsnitt"/>
              <w:numPr>
                <w:ilvl w:val="0"/>
                <w:numId w:val="10"/>
              </w:numPr>
              <w:ind w:left="357" w:hanging="357"/>
            </w:pPr>
            <w:r>
              <w:t xml:space="preserve">I tilsvarende bestemmelse i SSA-D er det </w:t>
            </w:r>
            <w:r w:rsidR="00756CA9">
              <w:t xml:space="preserve">i tillegg krevet at leverandøren hever avtalen. Leverandøren kan i SSA-D likevel ikke holde tilbake driftstjenesten dersom </w:t>
            </w:r>
            <w:r w:rsidR="00F179BF">
              <w:t xml:space="preserve">kunden </w:t>
            </w:r>
            <w:r w:rsidR="00756CA9">
              <w:t>benytter sin rett til midlertidig forlengelse av avtalen mot forskuddsbetaling som angitt i punkt 4.5.</w:t>
            </w:r>
          </w:p>
        </w:tc>
      </w:tr>
      <w:tr w:rsidR="003422CF" w:rsidTr="00701EB6">
        <w:tc>
          <w:tcPr>
            <w:tcW w:w="2376" w:type="dxa"/>
          </w:tcPr>
          <w:p w:rsidR="003422CF" w:rsidRDefault="003422CF">
            <w:r>
              <w:t>Forsinkelse på kundens side</w:t>
            </w:r>
          </w:p>
        </w:tc>
        <w:tc>
          <w:tcPr>
            <w:tcW w:w="1418" w:type="dxa"/>
          </w:tcPr>
          <w:p w:rsidR="003422CF" w:rsidRDefault="003422CF" w:rsidP="00F34754">
            <w:r>
              <w:t>12.5</w:t>
            </w:r>
          </w:p>
        </w:tc>
        <w:tc>
          <w:tcPr>
            <w:tcW w:w="4961" w:type="dxa"/>
          </w:tcPr>
          <w:p w:rsidR="003422CF" w:rsidRDefault="003422CF" w:rsidP="003422CF">
            <w:r>
              <w:t>Det er presisert at hvis Kunden er forsinket med oppfyllelsen av sine plikter etter avtalen, og dette medfører at Leverandøren bruker mer tid på å gjennomføre sin del av leveransen, har Leverandøren krav på "justering av det avtalte vederlaget tilsvarende det antall timer som Leverandøren har blitt påført i merarbeid som følge av Kundens mislighold".</w:t>
            </w:r>
          </w:p>
        </w:tc>
        <w:tc>
          <w:tcPr>
            <w:tcW w:w="5343" w:type="dxa"/>
          </w:tcPr>
          <w:p w:rsidR="003422CF" w:rsidRDefault="003422CF" w:rsidP="00F179BF"/>
        </w:tc>
      </w:tr>
      <w:tr w:rsidR="006B61CA" w:rsidTr="00701EB6">
        <w:tc>
          <w:tcPr>
            <w:tcW w:w="2376" w:type="dxa"/>
          </w:tcPr>
          <w:p w:rsidR="006B61CA" w:rsidRDefault="006B61CA">
            <w:r>
              <w:t xml:space="preserve">Hevingsoppgjør – heving med virkning fremover i tid </w:t>
            </w:r>
          </w:p>
        </w:tc>
        <w:tc>
          <w:tcPr>
            <w:tcW w:w="1418" w:type="dxa"/>
          </w:tcPr>
          <w:p w:rsidR="006B61CA" w:rsidRDefault="006B61CA" w:rsidP="00F34754">
            <w:r>
              <w:t>Kap. 14</w:t>
            </w:r>
          </w:p>
        </w:tc>
        <w:tc>
          <w:tcPr>
            <w:tcW w:w="4961" w:type="dxa"/>
          </w:tcPr>
          <w:p w:rsidR="006B61CA" w:rsidRDefault="006B61CA" w:rsidP="00020CC5">
            <w:r>
              <w:t xml:space="preserve">Endring av bestemmelsen om hevingsoppgjør. Kunden kan bare kreve tilbake det han har betalt hvis kunden </w:t>
            </w:r>
            <w:r w:rsidR="003E15B8">
              <w:t xml:space="preserve">bare har </w:t>
            </w:r>
            <w:r w:rsidR="00020CC5">
              <w:t xml:space="preserve">liten eller ingen </w:t>
            </w:r>
            <w:r>
              <w:t>nytte av det som er prestert før hevingstidspunktet og ikke kan forventes å bygge videre på det eller ferdigstille det ved hjelp av en ny leverandør.</w:t>
            </w:r>
          </w:p>
        </w:tc>
        <w:tc>
          <w:tcPr>
            <w:tcW w:w="5343" w:type="dxa"/>
          </w:tcPr>
          <w:p w:rsidR="006B61CA" w:rsidRDefault="006B61CA" w:rsidP="00F179BF">
            <w:r>
              <w:t xml:space="preserve">I SSA-T 2009-2013 var hovedprinsippet ved heving at kunden kunne kreve pengene tilbake, til tross for at utførte tjenester ikke nødvendigvis hadde resultert i noe som kunne tilbakeleveres. </w:t>
            </w:r>
            <w:r w:rsidR="00F179BF">
              <w:t>(</w:t>
            </w:r>
            <w:r>
              <w:t>Den nye bestemmelsen synes å være mer i overensstemmelse med tjenestekontrakter ellers</w:t>
            </w:r>
            <w:r w:rsidR="00F179BF">
              <w:t>.)</w:t>
            </w:r>
            <w:r w:rsidR="003265FD">
              <w:t xml:space="preserve"> </w:t>
            </w:r>
          </w:p>
        </w:tc>
      </w:tr>
      <w:tr w:rsidR="003E15B8" w:rsidTr="00701EB6">
        <w:tc>
          <w:tcPr>
            <w:tcW w:w="2376" w:type="dxa"/>
          </w:tcPr>
          <w:p w:rsidR="003E15B8" w:rsidRDefault="003E15B8">
            <w:r>
              <w:t>Overdragelse av rettigheter og plikter</w:t>
            </w:r>
          </w:p>
        </w:tc>
        <w:tc>
          <w:tcPr>
            <w:tcW w:w="1418" w:type="dxa"/>
          </w:tcPr>
          <w:p w:rsidR="003E15B8" w:rsidRDefault="003E15B8" w:rsidP="00F34754">
            <w:r>
              <w:t>15.3</w:t>
            </w:r>
          </w:p>
        </w:tc>
        <w:tc>
          <w:tcPr>
            <w:tcW w:w="4961" w:type="dxa"/>
          </w:tcPr>
          <w:p w:rsidR="003E15B8" w:rsidRDefault="00155E57" w:rsidP="00020CC5">
            <w:r>
              <w:t>Det er gjort u</w:t>
            </w:r>
            <w:r w:rsidRPr="00E801F0">
              <w:t>nntak f</w:t>
            </w:r>
            <w:r>
              <w:t>ra</w:t>
            </w:r>
            <w:r w:rsidRPr="00E801F0">
              <w:t xml:space="preserve"> krav om samtykke fra kunden </w:t>
            </w:r>
            <w:r>
              <w:t>hvis kontrakten overdras som følge av at leverandøren slås sammen med et annet selskap. Det er presisert anskaffelsesrettslige krav som må oppfylles for leverandørskifte hvis kunden er omfattet av anskaffelsesregelverket.</w:t>
            </w:r>
          </w:p>
        </w:tc>
        <w:tc>
          <w:tcPr>
            <w:tcW w:w="5343" w:type="dxa"/>
          </w:tcPr>
          <w:p w:rsidR="003E15B8" w:rsidRDefault="003E15B8" w:rsidP="00F179BF"/>
        </w:tc>
      </w:tr>
      <w:tr w:rsidR="00C8015A" w:rsidTr="00537C56">
        <w:tc>
          <w:tcPr>
            <w:tcW w:w="2376" w:type="dxa"/>
          </w:tcPr>
          <w:p w:rsidR="00C8015A" w:rsidRPr="00583009" w:rsidRDefault="00C8015A" w:rsidP="00537C56">
            <w:r w:rsidRPr="00583009">
              <w:t>Force majeure</w:t>
            </w:r>
          </w:p>
        </w:tc>
        <w:tc>
          <w:tcPr>
            <w:tcW w:w="1418" w:type="dxa"/>
          </w:tcPr>
          <w:p w:rsidR="00C8015A" w:rsidRDefault="00C8015A" w:rsidP="00C8015A">
            <w:r w:rsidRPr="00583009">
              <w:t xml:space="preserve">Punkt </w:t>
            </w:r>
            <w:r>
              <w:t>15.6</w:t>
            </w:r>
          </w:p>
        </w:tc>
        <w:tc>
          <w:tcPr>
            <w:tcW w:w="4961" w:type="dxa"/>
          </w:tcPr>
          <w:p w:rsidR="00C8015A" w:rsidRPr="006E14CF" w:rsidRDefault="00C8015A" w:rsidP="00537C56">
            <w:pPr>
              <w:spacing w:after="200" w:line="276" w:lineRule="auto"/>
              <w:rPr>
                <w:highlight w:val="yellow"/>
              </w:rPr>
            </w:pPr>
            <w:r>
              <w:t xml:space="preserve">Hvis avtalen avsluttes som følge av </w:t>
            </w:r>
            <w:r w:rsidRPr="00AD545F">
              <w:rPr>
                <w:i/>
              </w:rPr>
              <w:t>force majeure</w:t>
            </w:r>
            <w:r>
              <w:t xml:space="preserve"> (som har vart mer enn 90 dager), dekker partene sine egne kostnader knyttet til avslutningen og leverandøren får betalt for det som er levert før avtalen ble avsluttet. Partene kan ikke rette andre krav mot hverandre som følge av avslutning på grunn av </w:t>
            </w:r>
            <w:r w:rsidRPr="00E82C7D">
              <w:rPr>
                <w:i/>
              </w:rPr>
              <w:t>force majeure</w:t>
            </w:r>
            <w:r>
              <w:t>.</w:t>
            </w:r>
          </w:p>
        </w:tc>
        <w:tc>
          <w:tcPr>
            <w:tcW w:w="5343" w:type="dxa"/>
          </w:tcPr>
          <w:p w:rsidR="00C8015A" w:rsidRDefault="00524F04" w:rsidP="00537C56">
            <w:r>
              <w:t xml:space="preserve">Manglende oppfyllelse som følge av </w:t>
            </w:r>
            <w:r w:rsidRPr="00AD545F">
              <w:rPr>
                <w:i/>
              </w:rPr>
              <w:t>force majeure</w:t>
            </w:r>
            <w:r>
              <w:t xml:space="preserve"> er ikke mislighold. Endringen i punkt 13.4 er en refleks av dette.</w:t>
            </w:r>
          </w:p>
        </w:tc>
      </w:tr>
    </w:tbl>
    <w:p w:rsidR="006B61CA" w:rsidRDefault="006B61CA"/>
    <w:sectPr w:rsidR="006B61CA" w:rsidSect="00701EB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BCB" w:rsidRDefault="00EC0BCB" w:rsidP="00EC0BCB">
      <w:pPr>
        <w:spacing w:after="0" w:line="240" w:lineRule="auto"/>
      </w:pPr>
      <w:r>
        <w:separator/>
      </w:r>
    </w:p>
  </w:endnote>
  <w:endnote w:type="continuationSeparator" w:id="0">
    <w:p w:rsidR="00EC0BCB" w:rsidRDefault="00EC0BCB" w:rsidP="00EC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108" w:rsidRDefault="00FA7108">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BCB" w:rsidRPr="00723597" w:rsidRDefault="00723597" w:rsidP="00723597">
    <w:pPr>
      <w:pStyle w:val="Bunntekst"/>
      <w:ind w:right="-709"/>
      <w:jc w:val="right"/>
      <w:rPr>
        <w:caps/>
        <w:sz w:val="12"/>
      </w:rPr>
    </w:pPr>
    <w:r>
      <w:rPr>
        <w:caps/>
        <w:sz w:val="12"/>
      </w:rPr>
      <w:t xml:space="preserve">L_7121385_v1  </w:t>
    </w:r>
    <w:bookmarkStart w:id="1" w:name="bunndato"/>
    <w:r>
      <w:rPr>
        <w:caps/>
        <w:sz w:val="12"/>
      </w:rPr>
      <w:t>25.01.16</w:t>
    </w:r>
    <w:bookmarkEnd w:id="1"/>
    <w:r>
      <w:rPr>
        <w:caps/>
        <w:sz w:val="12"/>
      </w:rPr>
      <w:t xml:space="preserve">  508535-032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108" w:rsidRDefault="00FA710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BCB" w:rsidRDefault="00EC0BCB" w:rsidP="00EC0BCB">
      <w:pPr>
        <w:spacing w:after="0" w:line="240" w:lineRule="auto"/>
      </w:pPr>
      <w:r>
        <w:separator/>
      </w:r>
    </w:p>
  </w:footnote>
  <w:footnote w:type="continuationSeparator" w:id="0">
    <w:p w:rsidR="00EC0BCB" w:rsidRDefault="00EC0BCB" w:rsidP="00EC0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108" w:rsidRDefault="00FA7108">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108" w:rsidRDefault="00FA7108">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108" w:rsidRDefault="00FA710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21B98"/>
    <w:multiLevelType w:val="hybridMultilevel"/>
    <w:tmpl w:val="8BCA4C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6F1633"/>
    <w:multiLevelType w:val="hybridMultilevel"/>
    <w:tmpl w:val="AB544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DD71FF6"/>
    <w:multiLevelType w:val="hybridMultilevel"/>
    <w:tmpl w:val="B56A1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54C182B"/>
    <w:multiLevelType w:val="hybridMultilevel"/>
    <w:tmpl w:val="B85C3B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250166"/>
    <w:multiLevelType w:val="hybridMultilevel"/>
    <w:tmpl w:val="CE260D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19736A2"/>
    <w:multiLevelType w:val="hybridMultilevel"/>
    <w:tmpl w:val="50263B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ACE35ED"/>
    <w:multiLevelType w:val="hybridMultilevel"/>
    <w:tmpl w:val="175A39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E8230DF"/>
    <w:multiLevelType w:val="hybridMultilevel"/>
    <w:tmpl w:val="3F16BB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33B65ED"/>
    <w:multiLevelType w:val="hybridMultilevel"/>
    <w:tmpl w:val="10CA89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5"/>
  </w:num>
  <w:num w:numId="5">
    <w:abstractNumId w:val="6"/>
  </w:num>
  <w:num w:numId="6">
    <w:abstractNumId w:val="7"/>
  </w:num>
  <w:num w:numId="7">
    <w:abstractNumId w:val="0"/>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B6"/>
    <w:rsid w:val="00005E21"/>
    <w:rsid w:val="00014674"/>
    <w:rsid w:val="00020CC5"/>
    <w:rsid w:val="00021D18"/>
    <w:rsid w:val="00034D68"/>
    <w:rsid w:val="00061125"/>
    <w:rsid w:val="00082018"/>
    <w:rsid w:val="00083282"/>
    <w:rsid w:val="000833D1"/>
    <w:rsid w:val="000A52EA"/>
    <w:rsid w:val="000C37BA"/>
    <w:rsid w:val="000C4C2C"/>
    <w:rsid w:val="000D2F6E"/>
    <w:rsid w:val="000E0C02"/>
    <w:rsid w:val="000F05F3"/>
    <w:rsid w:val="000F1B8E"/>
    <w:rsid w:val="0015393A"/>
    <w:rsid w:val="00155E57"/>
    <w:rsid w:val="00165D7F"/>
    <w:rsid w:val="00172B45"/>
    <w:rsid w:val="001778D7"/>
    <w:rsid w:val="00182FD4"/>
    <w:rsid w:val="001976BB"/>
    <w:rsid w:val="001A7B93"/>
    <w:rsid w:val="001C1B1E"/>
    <w:rsid w:val="001E22BD"/>
    <w:rsid w:val="00204683"/>
    <w:rsid w:val="00204B4F"/>
    <w:rsid w:val="002217C4"/>
    <w:rsid w:val="00221AC3"/>
    <w:rsid w:val="00227262"/>
    <w:rsid w:val="00230F6D"/>
    <w:rsid w:val="00242B59"/>
    <w:rsid w:val="00245201"/>
    <w:rsid w:val="002670D1"/>
    <w:rsid w:val="002677FE"/>
    <w:rsid w:val="002729BF"/>
    <w:rsid w:val="00282263"/>
    <w:rsid w:val="00287F17"/>
    <w:rsid w:val="00292C7A"/>
    <w:rsid w:val="002A0CB2"/>
    <w:rsid w:val="002A165F"/>
    <w:rsid w:val="002B11B4"/>
    <w:rsid w:val="002C1076"/>
    <w:rsid w:val="002C147B"/>
    <w:rsid w:val="002C1A63"/>
    <w:rsid w:val="002D03B0"/>
    <w:rsid w:val="002D7D2D"/>
    <w:rsid w:val="002E0759"/>
    <w:rsid w:val="002F6683"/>
    <w:rsid w:val="00314770"/>
    <w:rsid w:val="003211A3"/>
    <w:rsid w:val="0032253C"/>
    <w:rsid w:val="003265FD"/>
    <w:rsid w:val="003275F4"/>
    <w:rsid w:val="00336A76"/>
    <w:rsid w:val="003422CF"/>
    <w:rsid w:val="00352B05"/>
    <w:rsid w:val="003564AD"/>
    <w:rsid w:val="00361DD3"/>
    <w:rsid w:val="003643D2"/>
    <w:rsid w:val="003818EA"/>
    <w:rsid w:val="003856F8"/>
    <w:rsid w:val="003858A8"/>
    <w:rsid w:val="0039051F"/>
    <w:rsid w:val="003A3591"/>
    <w:rsid w:val="003C15CD"/>
    <w:rsid w:val="003D7773"/>
    <w:rsid w:val="003E15B8"/>
    <w:rsid w:val="003F30FE"/>
    <w:rsid w:val="003F34BC"/>
    <w:rsid w:val="003F73B5"/>
    <w:rsid w:val="00404117"/>
    <w:rsid w:val="00416CDB"/>
    <w:rsid w:val="00417327"/>
    <w:rsid w:val="00421935"/>
    <w:rsid w:val="00433CAA"/>
    <w:rsid w:val="00456A3F"/>
    <w:rsid w:val="00475057"/>
    <w:rsid w:val="00486814"/>
    <w:rsid w:val="00491059"/>
    <w:rsid w:val="00497BB0"/>
    <w:rsid w:val="004D4174"/>
    <w:rsid w:val="004D5C5B"/>
    <w:rsid w:val="004F4AA1"/>
    <w:rsid w:val="005039F8"/>
    <w:rsid w:val="00524F04"/>
    <w:rsid w:val="0054081E"/>
    <w:rsid w:val="00540AB5"/>
    <w:rsid w:val="0055286B"/>
    <w:rsid w:val="00552CE3"/>
    <w:rsid w:val="0055716F"/>
    <w:rsid w:val="00563EC2"/>
    <w:rsid w:val="0057420A"/>
    <w:rsid w:val="00594CAC"/>
    <w:rsid w:val="005B3419"/>
    <w:rsid w:val="005D6959"/>
    <w:rsid w:val="005F7C8E"/>
    <w:rsid w:val="00600DD7"/>
    <w:rsid w:val="0061256B"/>
    <w:rsid w:val="00623D0F"/>
    <w:rsid w:val="006247AD"/>
    <w:rsid w:val="006421D4"/>
    <w:rsid w:val="006462B1"/>
    <w:rsid w:val="0066016F"/>
    <w:rsid w:val="006774A8"/>
    <w:rsid w:val="0069194C"/>
    <w:rsid w:val="00694F46"/>
    <w:rsid w:val="00697006"/>
    <w:rsid w:val="006B4E09"/>
    <w:rsid w:val="006B4F99"/>
    <w:rsid w:val="006B61CA"/>
    <w:rsid w:val="006E2F3B"/>
    <w:rsid w:val="006E35C1"/>
    <w:rsid w:val="00700BD3"/>
    <w:rsid w:val="00701EB6"/>
    <w:rsid w:val="00704D60"/>
    <w:rsid w:val="007071BE"/>
    <w:rsid w:val="00712F0C"/>
    <w:rsid w:val="00717E11"/>
    <w:rsid w:val="00723597"/>
    <w:rsid w:val="00725F40"/>
    <w:rsid w:val="0073487E"/>
    <w:rsid w:val="00742F94"/>
    <w:rsid w:val="00750D81"/>
    <w:rsid w:val="00756B17"/>
    <w:rsid w:val="00756CA9"/>
    <w:rsid w:val="00780B58"/>
    <w:rsid w:val="00782D47"/>
    <w:rsid w:val="007C6B15"/>
    <w:rsid w:val="007E3ED8"/>
    <w:rsid w:val="007F6D2A"/>
    <w:rsid w:val="00801121"/>
    <w:rsid w:val="008037E9"/>
    <w:rsid w:val="00810A13"/>
    <w:rsid w:val="008254F7"/>
    <w:rsid w:val="00830276"/>
    <w:rsid w:val="00840486"/>
    <w:rsid w:val="008450E0"/>
    <w:rsid w:val="00860926"/>
    <w:rsid w:val="00895ED0"/>
    <w:rsid w:val="008B25EC"/>
    <w:rsid w:val="008B3D14"/>
    <w:rsid w:val="008D5822"/>
    <w:rsid w:val="008E145D"/>
    <w:rsid w:val="008E7CFD"/>
    <w:rsid w:val="008F1CFC"/>
    <w:rsid w:val="008F5AF4"/>
    <w:rsid w:val="00906990"/>
    <w:rsid w:val="00907355"/>
    <w:rsid w:val="00910CEF"/>
    <w:rsid w:val="00926E65"/>
    <w:rsid w:val="009322B8"/>
    <w:rsid w:val="00935632"/>
    <w:rsid w:val="00943E72"/>
    <w:rsid w:val="00954365"/>
    <w:rsid w:val="00964878"/>
    <w:rsid w:val="009939B3"/>
    <w:rsid w:val="0099562B"/>
    <w:rsid w:val="009A5A1E"/>
    <w:rsid w:val="009A6278"/>
    <w:rsid w:val="009B7B81"/>
    <w:rsid w:val="009C5073"/>
    <w:rsid w:val="009D5BF4"/>
    <w:rsid w:val="009E43D3"/>
    <w:rsid w:val="009F42F9"/>
    <w:rsid w:val="00A0001A"/>
    <w:rsid w:val="00A0016F"/>
    <w:rsid w:val="00A11F6D"/>
    <w:rsid w:val="00A12FF2"/>
    <w:rsid w:val="00A236FC"/>
    <w:rsid w:val="00A245FB"/>
    <w:rsid w:val="00A4364C"/>
    <w:rsid w:val="00A45968"/>
    <w:rsid w:val="00AA1A30"/>
    <w:rsid w:val="00AA443B"/>
    <w:rsid w:val="00AA5441"/>
    <w:rsid w:val="00AB13A6"/>
    <w:rsid w:val="00AB28E7"/>
    <w:rsid w:val="00AC3572"/>
    <w:rsid w:val="00AE2A6F"/>
    <w:rsid w:val="00B01CDA"/>
    <w:rsid w:val="00B0589F"/>
    <w:rsid w:val="00B06719"/>
    <w:rsid w:val="00B228C1"/>
    <w:rsid w:val="00B35B13"/>
    <w:rsid w:val="00B45DA7"/>
    <w:rsid w:val="00B47DE7"/>
    <w:rsid w:val="00B8464F"/>
    <w:rsid w:val="00B97D62"/>
    <w:rsid w:val="00BB3D3E"/>
    <w:rsid w:val="00BB44D9"/>
    <w:rsid w:val="00BC7FD5"/>
    <w:rsid w:val="00BD222C"/>
    <w:rsid w:val="00BD36FD"/>
    <w:rsid w:val="00BD67FF"/>
    <w:rsid w:val="00C00892"/>
    <w:rsid w:val="00C02D95"/>
    <w:rsid w:val="00C03540"/>
    <w:rsid w:val="00C044C8"/>
    <w:rsid w:val="00C43332"/>
    <w:rsid w:val="00C5403A"/>
    <w:rsid w:val="00C543DD"/>
    <w:rsid w:val="00C5574C"/>
    <w:rsid w:val="00C60085"/>
    <w:rsid w:val="00C8015A"/>
    <w:rsid w:val="00CA42E4"/>
    <w:rsid w:val="00CA58EC"/>
    <w:rsid w:val="00CB51FA"/>
    <w:rsid w:val="00CD059B"/>
    <w:rsid w:val="00CD1D44"/>
    <w:rsid w:val="00CE66A1"/>
    <w:rsid w:val="00CE770F"/>
    <w:rsid w:val="00CF1049"/>
    <w:rsid w:val="00D0361F"/>
    <w:rsid w:val="00D16240"/>
    <w:rsid w:val="00D26195"/>
    <w:rsid w:val="00D430E9"/>
    <w:rsid w:val="00D52511"/>
    <w:rsid w:val="00D57DCC"/>
    <w:rsid w:val="00D66DCF"/>
    <w:rsid w:val="00D71097"/>
    <w:rsid w:val="00D739BB"/>
    <w:rsid w:val="00D93C59"/>
    <w:rsid w:val="00DB7CE3"/>
    <w:rsid w:val="00DC510B"/>
    <w:rsid w:val="00DC6372"/>
    <w:rsid w:val="00DD71DC"/>
    <w:rsid w:val="00DE11B7"/>
    <w:rsid w:val="00DF073C"/>
    <w:rsid w:val="00E405AD"/>
    <w:rsid w:val="00E70AD7"/>
    <w:rsid w:val="00E70E97"/>
    <w:rsid w:val="00E75C72"/>
    <w:rsid w:val="00E80A0C"/>
    <w:rsid w:val="00EA6D72"/>
    <w:rsid w:val="00EC0BCB"/>
    <w:rsid w:val="00EC2D3F"/>
    <w:rsid w:val="00ED21CF"/>
    <w:rsid w:val="00EE3368"/>
    <w:rsid w:val="00EE5306"/>
    <w:rsid w:val="00F179BF"/>
    <w:rsid w:val="00F327EE"/>
    <w:rsid w:val="00F3327A"/>
    <w:rsid w:val="00F34754"/>
    <w:rsid w:val="00F52802"/>
    <w:rsid w:val="00F6102B"/>
    <w:rsid w:val="00F75E02"/>
    <w:rsid w:val="00F96C63"/>
    <w:rsid w:val="00FA7108"/>
    <w:rsid w:val="00FB3731"/>
    <w:rsid w:val="00FB6D7A"/>
    <w:rsid w:val="00FE64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2E09AE6-840C-4FC9-8428-CB176FE6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0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01EB6"/>
    <w:pPr>
      <w:ind w:left="720"/>
      <w:contextualSpacing/>
    </w:pPr>
  </w:style>
  <w:style w:type="paragraph" w:styleId="Topptekst">
    <w:name w:val="header"/>
    <w:basedOn w:val="Normal"/>
    <w:link w:val="TopptekstTegn"/>
    <w:uiPriority w:val="99"/>
    <w:unhideWhenUsed/>
    <w:rsid w:val="00EC0BCB"/>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EC0BCB"/>
  </w:style>
  <w:style w:type="paragraph" w:styleId="Bunntekst">
    <w:name w:val="footer"/>
    <w:basedOn w:val="Normal"/>
    <w:link w:val="BunntekstTegn"/>
    <w:uiPriority w:val="99"/>
    <w:unhideWhenUsed/>
    <w:rsid w:val="00EC0BCB"/>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C0BCB"/>
  </w:style>
  <w:style w:type="paragraph" w:styleId="Bobletekst">
    <w:name w:val="Balloon Text"/>
    <w:basedOn w:val="Normal"/>
    <w:link w:val="BobletekstTegn"/>
    <w:uiPriority w:val="99"/>
    <w:semiHidden/>
    <w:unhideWhenUsed/>
    <w:rsid w:val="002670D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70D1"/>
    <w:rPr>
      <w:rFonts w:ascii="Tahoma" w:hAnsi="Tahoma" w:cs="Tahoma"/>
      <w:sz w:val="16"/>
      <w:szCs w:val="16"/>
    </w:rPr>
  </w:style>
  <w:style w:type="character" w:styleId="Merknadsreferanse">
    <w:name w:val="annotation reference"/>
    <w:basedOn w:val="Standardskriftforavsnitt"/>
    <w:uiPriority w:val="99"/>
    <w:semiHidden/>
    <w:unhideWhenUsed/>
    <w:rsid w:val="007E3ED8"/>
    <w:rPr>
      <w:sz w:val="16"/>
      <w:szCs w:val="16"/>
    </w:rPr>
  </w:style>
  <w:style w:type="paragraph" w:styleId="Merknadstekst">
    <w:name w:val="annotation text"/>
    <w:basedOn w:val="Normal"/>
    <w:link w:val="MerknadstekstTegn"/>
    <w:uiPriority w:val="99"/>
    <w:semiHidden/>
    <w:unhideWhenUsed/>
    <w:rsid w:val="007E3ED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E3ED8"/>
    <w:rPr>
      <w:sz w:val="20"/>
      <w:szCs w:val="20"/>
    </w:rPr>
  </w:style>
  <w:style w:type="paragraph" w:styleId="Kommentaremne">
    <w:name w:val="annotation subject"/>
    <w:basedOn w:val="Merknadstekst"/>
    <w:next w:val="Merknadstekst"/>
    <w:link w:val="KommentaremneTegn"/>
    <w:uiPriority w:val="99"/>
    <w:semiHidden/>
    <w:unhideWhenUsed/>
    <w:rsid w:val="007E3ED8"/>
    <w:rPr>
      <w:b/>
      <w:bCs/>
    </w:rPr>
  </w:style>
  <w:style w:type="character" w:customStyle="1" w:styleId="KommentaremneTegn">
    <w:name w:val="Kommentaremne Tegn"/>
    <w:basedOn w:val="MerknadstekstTegn"/>
    <w:link w:val="Kommentaremne"/>
    <w:uiPriority w:val="99"/>
    <w:semiHidden/>
    <w:rsid w:val="007E3ED8"/>
    <w:rPr>
      <w:b/>
      <w:bCs/>
      <w:sz w:val="20"/>
      <w:szCs w:val="20"/>
    </w:rPr>
  </w:style>
  <w:style w:type="paragraph" w:styleId="Revisjon">
    <w:name w:val="Revision"/>
    <w:hidden/>
    <w:uiPriority w:val="99"/>
    <w:semiHidden/>
    <w:rsid w:val="00020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8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7605-41DE-4C42-83AF-56A9FBA7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3968</Words>
  <Characters>21033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Benkow, Mari</dc:creator>
  <cp:lastModifiedBy>Benkow, Mari</cp:lastModifiedBy>
  <cp:revision>2</cp:revision>
  <dcterms:created xsi:type="dcterms:W3CDTF">2016-01-26T12:03:00Z</dcterms:created>
  <dcterms:modified xsi:type="dcterms:W3CDTF">2016-01-26T12:03:00Z</dcterms:modified>
</cp:coreProperties>
</file>