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21" w:rsidRPr="00D13C3E" w:rsidRDefault="00D13C3E" w:rsidP="00D13C3E">
      <w:pPr>
        <w:rPr>
          <w:b/>
        </w:rPr>
      </w:pPr>
      <w:bookmarkStart w:id="0" w:name="_GoBack"/>
      <w:bookmarkEnd w:id="0"/>
      <w:r w:rsidRPr="00D13C3E">
        <w:rPr>
          <w:b/>
        </w:rPr>
        <w:t>Oversikt over endrede og/eller nye bestemmelser i SSA-V 2015</w:t>
      </w:r>
    </w:p>
    <w:tbl>
      <w:tblPr>
        <w:tblStyle w:val="Tabellrutenett"/>
        <w:tblW w:w="0" w:type="auto"/>
        <w:tblLook w:val="04A0" w:firstRow="1" w:lastRow="0" w:firstColumn="1" w:lastColumn="0" w:noHBand="0" w:noVBand="1"/>
      </w:tblPr>
      <w:tblGrid>
        <w:gridCol w:w="2376"/>
        <w:gridCol w:w="1418"/>
        <w:gridCol w:w="4961"/>
        <w:gridCol w:w="5343"/>
      </w:tblGrid>
      <w:tr w:rsidR="00701EB6" w:rsidRPr="00701EB6" w:rsidTr="00701EB6">
        <w:tc>
          <w:tcPr>
            <w:tcW w:w="2376" w:type="dxa"/>
          </w:tcPr>
          <w:p w:rsidR="00701EB6" w:rsidRPr="00701EB6" w:rsidRDefault="00701EB6">
            <w:pPr>
              <w:rPr>
                <w:b/>
              </w:rPr>
            </w:pPr>
            <w:r w:rsidRPr="00701EB6">
              <w:rPr>
                <w:b/>
              </w:rPr>
              <w:t>Stikkord</w:t>
            </w:r>
          </w:p>
        </w:tc>
        <w:tc>
          <w:tcPr>
            <w:tcW w:w="1418" w:type="dxa"/>
          </w:tcPr>
          <w:p w:rsidR="00701EB6" w:rsidRPr="00701EB6" w:rsidRDefault="00701EB6">
            <w:pPr>
              <w:rPr>
                <w:b/>
              </w:rPr>
            </w:pPr>
            <w:r w:rsidRPr="00701EB6">
              <w:rPr>
                <w:b/>
              </w:rPr>
              <w:t>Referanse</w:t>
            </w:r>
          </w:p>
        </w:tc>
        <w:tc>
          <w:tcPr>
            <w:tcW w:w="4961" w:type="dxa"/>
          </w:tcPr>
          <w:p w:rsidR="00701EB6" w:rsidRPr="00701EB6" w:rsidRDefault="00701EB6">
            <w:pPr>
              <w:rPr>
                <w:b/>
              </w:rPr>
            </w:pPr>
            <w:r w:rsidRPr="00701EB6">
              <w:rPr>
                <w:b/>
              </w:rPr>
              <w:t>Endringens art</w:t>
            </w:r>
          </w:p>
        </w:tc>
        <w:tc>
          <w:tcPr>
            <w:tcW w:w="5343" w:type="dxa"/>
          </w:tcPr>
          <w:p w:rsidR="00701EB6" w:rsidRPr="00701EB6" w:rsidRDefault="00701EB6">
            <w:pPr>
              <w:rPr>
                <w:b/>
              </w:rPr>
            </w:pPr>
            <w:r w:rsidRPr="00701EB6">
              <w:rPr>
                <w:b/>
              </w:rPr>
              <w:t>Kommentarer</w:t>
            </w:r>
          </w:p>
        </w:tc>
      </w:tr>
      <w:tr w:rsidR="00701EB6" w:rsidTr="00701EB6">
        <w:tc>
          <w:tcPr>
            <w:tcW w:w="2376" w:type="dxa"/>
          </w:tcPr>
          <w:p w:rsidR="00701EB6" w:rsidRDefault="00701EB6"/>
        </w:tc>
        <w:tc>
          <w:tcPr>
            <w:tcW w:w="1418" w:type="dxa"/>
          </w:tcPr>
          <w:p w:rsidR="00701EB6" w:rsidRDefault="0071067F">
            <w:r>
              <w:t>SSA-V</w:t>
            </w:r>
          </w:p>
        </w:tc>
        <w:tc>
          <w:tcPr>
            <w:tcW w:w="4961" w:type="dxa"/>
          </w:tcPr>
          <w:p w:rsidR="00701EB6" w:rsidRDefault="0071067F" w:rsidP="00920E14">
            <w:r>
              <w:t>SSA-V 2015 er basert på innholdet i tidligere SSA-V (lille) som er bearbeidet, utvidet og tatt inn i strukturen til tidligere SSA-V</w:t>
            </w:r>
            <w:r w:rsidR="00E83235">
              <w:t xml:space="preserve"> (store)</w:t>
            </w:r>
            <w:r>
              <w:t xml:space="preserve">. </w:t>
            </w:r>
          </w:p>
        </w:tc>
        <w:tc>
          <w:tcPr>
            <w:tcW w:w="5343" w:type="dxa"/>
          </w:tcPr>
          <w:p w:rsidR="00701EB6" w:rsidRDefault="0071067F" w:rsidP="005C4EAF">
            <w:r>
              <w:t>I og med at SSA-V 2015 er en kombinasjon av to tidligere avtaler</w:t>
            </w:r>
            <w:r w:rsidR="00003AAE">
              <w:t>,</w:t>
            </w:r>
            <w:r>
              <w:t xml:space="preserve"> er det ikke helt rett frem å angi endringer fra tidligere versjon. Nedenfor følger de viktigste endringene/nyvinningene samlet sett.</w:t>
            </w:r>
          </w:p>
        </w:tc>
      </w:tr>
      <w:tr w:rsidR="00920E14" w:rsidTr="00701EB6">
        <w:tc>
          <w:tcPr>
            <w:tcW w:w="2376" w:type="dxa"/>
          </w:tcPr>
          <w:p w:rsidR="00920E14" w:rsidRDefault="00920E14" w:rsidP="00920E14">
            <w:r>
              <w:t>Alminnelige bestemmelser</w:t>
            </w:r>
          </w:p>
        </w:tc>
        <w:tc>
          <w:tcPr>
            <w:tcW w:w="1418" w:type="dxa"/>
          </w:tcPr>
          <w:p w:rsidR="00920E14" w:rsidRDefault="00920E14" w:rsidP="00AD6C7B">
            <w:r>
              <w:t>Kap. 1</w:t>
            </w:r>
          </w:p>
        </w:tc>
        <w:tc>
          <w:tcPr>
            <w:tcW w:w="4961" w:type="dxa"/>
          </w:tcPr>
          <w:p w:rsidR="00920E14" w:rsidRDefault="00920E14" w:rsidP="008E5E6A">
            <w:r>
              <w:t xml:space="preserve">Kapittel 1 </w:t>
            </w:r>
            <w:r w:rsidRPr="00920E14">
              <w:rPr>
                <w:i/>
              </w:rPr>
              <w:t>Alminnelige bestemmelser</w:t>
            </w:r>
            <w:r>
              <w:t xml:space="preserve"> er forenklet og bestemmelsen om forholdet til garanti og reklamasjon er fjernet.</w:t>
            </w:r>
          </w:p>
        </w:tc>
        <w:tc>
          <w:tcPr>
            <w:tcW w:w="5343" w:type="dxa"/>
          </w:tcPr>
          <w:p w:rsidR="00920E14" w:rsidRDefault="00920E14" w:rsidP="00AD6C7B"/>
        </w:tc>
      </w:tr>
      <w:tr w:rsidR="00FB2404" w:rsidTr="00701EB6">
        <w:tc>
          <w:tcPr>
            <w:tcW w:w="2376" w:type="dxa"/>
          </w:tcPr>
          <w:p w:rsidR="00FB2404" w:rsidRDefault="00FB2404" w:rsidP="00AD6C7B">
            <w:r>
              <w:t>Tredjeparts standard</w:t>
            </w:r>
            <w:r>
              <w:softHyphen/>
              <w:t>vilkår (bilag)</w:t>
            </w:r>
          </w:p>
        </w:tc>
        <w:tc>
          <w:tcPr>
            <w:tcW w:w="1418" w:type="dxa"/>
          </w:tcPr>
          <w:p w:rsidR="00FB2404" w:rsidRDefault="00FB2404" w:rsidP="00AD6C7B">
            <w:r>
              <w:t>Bilag 10</w:t>
            </w:r>
            <w:r w:rsidR="00740A41">
              <w:t xml:space="preserve"> </w:t>
            </w:r>
          </w:p>
        </w:tc>
        <w:tc>
          <w:tcPr>
            <w:tcW w:w="4961" w:type="dxa"/>
          </w:tcPr>
          <w:p w:rsidR="00FB2404" w:rsidRDefault="00FB2404" w:rsidP="008E5E6A">
            <w:r>
              <w:t xml:space="preserve">Nytt bilag (bilag 10) der det kan legges ved (tredjeparts) standardvilkår for vedlikehold av tredjeparts programvare. </w:t>
            </w:r>
          </w:p>
        </w:tc>
        <w:tc>
          <w:tcPr>
            <w:tcW w:w="5343" w:type="dxa"/>
          </w:tcPr>
          <w:p w:rsidR="00FB2404" w:rsidRDefault="008E5E6A" w:rsidP="00AD6C7B">
            <w:r>
              <w:t>Se også punkt 2.2.5 om retting av feil i standard programvare nedenfor.</w:t>
            </w:r>
          </w:p>
        </w:tc>
      </w:tr>
      <w:tr w:rsidR="00FB2404" w:rsidTr="00701EB6">
        <w:tc>
          <w:tcPr>
            <w:tcW w:w="2376" w:type="dxa"/>
          </w:tcPr>
          <w:p w:rsidR="00FB2404" w:rsidRDefault="00584D54">
            <w:r>
              <w:t>Samhandlingsplan</w:t>
            </w:r>
          </w:p>
        </w:tc>
        <w:tc>
          <w:tcPr>
            <w:tcW w:w="1418" w:type="dxa"/>
          </w:tcPr>
          <w:p w:rsidR="00FB2404" w:rsidRDefault="00584D54">
            <w:r>
              <w:t>2.1.2</w:t>
            </w:r>
          </w:p>
        </w:tc>
        <w:tc>
          <w:tcPr>
            <w:tcW w:w="4961" w:type="dxa"/>
          </w:tcPr>
          <w:p w:rsidR="00FB2404" w:rsidRDefault="00584D54" w:rsidP="00584D54">
            <w:r>
              <w:t xml:space="preserve">Det skal utarbeides en samhandlingsplan som skal inneholde rutiner og prosedyrer som er nødvendig for samhandlingen mellom Kunden og Leverandøren, herunder om feilhåndtering, endringshåndtering, rutiner og planer for møter </w:t>
            </w:r>
            <w:r w:rsidRPr="00584D54">
              <w:rPr>
                <w:i/>
              </w:rPr>
              <w:t>og samhandling med kundens øvrige leverandører</w:t>
            </w:r>
            <w:r>
              <w:t>.</w:t>
            </w:r>
          </w:p>
        </w:tc>
        <w:tc>
          <w:tcPr>
            <w:tcW w:w="5343" w:type="dxa"/>
          </w:tcPr>
          <w:p w:rsidR="00FB2404" w:rsidRDefault="00584D54" w:rsidP="00584D54">
            <w:r>
              <w:t xml:space="preserve">Leverandøren skal lage utkast til samhandlingsplanen som ferdigstilles i samarbeid med kunden. Kunden kan på forhånd ha stilt krav til denne planen i bilag 1 og/eller </w:t>
            </w:r>
            <w:r w:rsidR="00B93C25">
              <w:t xml:space="preserve">bilag </w:t>
            </w:r>
            <w:r>
              <w:t>6.</w:t>
            </w:r>
          </w:p>
        </w:tc>
      </w:tr>
      <w:tr w:rsidR="00FB2404" w:rsidTr="00701EB6">
        <w:tc>
          <w:tcPr>
            <w:tcW w:w="2376" w:type="dxa"/>
          </w:tcPr>
          <w:p w:rsidR="00FB2404" w:rsidRDefault="004439E7">
            <w:r>
              <w:t>Rapportering</w:t>
            </w:r>
          </w:p>
        </w:tc>
        <w:tc>
          <w:tcPr>
            <w:tcW w:w="1418" w:type="dxa"/>
          </w:tcPr>
          <w:p w:rsidR="00FB2404" w:rsidRDefault="004439E7">
            <w:r>
              <w:t>2.2.2</w:t>
            </w:r>
            <w:r w:rsidR="00740A41">
              <w:t xml:space="preserve"> </w:t>
            </w:r>
          </w:p>
        </w:tc>
        <w:tc>
          <w:tcPr>
            <w:tcW w:w="4961" w:type="dxa"/>
          </w:tcPr>
          <w:p w:rsidR="00FB2404" w:rsidRDefault="004439E7" w:rsidP="004439E7">
            <w:r>
              <w:t xml:space="preserve">Bestemmelsen om rapportering av utført vedlikehold er forenklet. Med mindre annet er avtalt i bilag 6, benyttes Leverandørens standardformat og -nivå for slik rapportering.  </w:t>
            </w:r>
          </w:p>
        </w:tc>
        <w:tc>
          <w:tcPr>
            <w:tcW w:w="5343" w:type="dxa"/>
          </w:tcPr>
          <w:p w:rsidR="00FB2404" w:rsidRDefault="004439E7" w:rsidP="004439E7">
            <w:r>
              <w:t>Bakgrunnen er et ønske om å legge til rette for kjøp av leverandørens standard tjenester og standard SLA (inkl</w:t>
            </w:r>
            <w:r w:rsidR="00FF111F">
              <w:t>.</w:t>
            </w:r>
            <w:r>
              <w:t xml:space="preserve"> rapportering). Hvis kunden har særlige krav til rapportering må det fremgå av bilag 6.</w:t>
            </w:r>
            <w:r w:rsidR="008E256B">
              <w:t xml:space="preserve"> Se også punkt 2.3 om rapportering av SLA.</w:t>
            </w:r>
          </w:p>
        </w:tc>
      </w:tr>
      <w:tr w:rsidR="00920E14" w:rsidTr="00701EB6">
        <w:tc>
          <w:tcPr>
            <w:tcW w:w="2376" w:type="dxa"/>
          </w:tcPr>
          <w:p w:rsidR="00920E14" w:rsidRDefault="00920E14">
            <w:r>
              <w:t>Brukerstøtte</w:t>
            </w:r>
          </w:p>
        </w:tc>
        <w:tc>
          <w:tcPr>
            <w:tcW w:w="1418" w:type="dxa"/>
          </w:tcPr>
          <w:p w:rsidR="00920E14" w:rsidRDefault="00920E14">
            <w:r>
              <w:t>2.2.4</w:t>
            </w:r>
          </w:p>
        </w:tc>
        <w:tc>
          <w:tcPr>
            <w:tcW w:w="4961" w:type="dxa"/>
          </w:tcPr>
          <w:p w:rsidR="00920E14" w:rsidRDefault="00920E14" w:rsidP="00920E14">
            <w:r>
              <w:t>Bestemmelsene om brukerstøtte i 2.2.4 er forenklet og beskrivelse av tjenesten er flyttet til andre bilag.</w:t>
            </w:r>
          </w:p>
        </w:tc>
        <w:tc>
          <w:tcPr>
            <w:tcW w:w="5343" w:type="dxa"/>
          </w:tcPr>
          <w:p w:rsidR="00920E14" w:rsidRDefault="00920E14" w:rsidP="00BD36FD"/>
        </w:tc>
      </w:tr>
      <w:tr w:rsidR="00FB2404" w:rsidTr="00701EB6">
        <w:tc>
          <w:tcPr>
            <w:tcW w:w="2376" w:type="dxa"/>
          </w:tcPr>
          <w:p w:rsidR="00FB2404" w:rsidRDefault="000B059D">
            <w:r>
              <w:t>Feilkategorisering</w:t>
            </w:r>
          </w:p>
        </w:tc>
        <w:tc>
          <w:tcPr>
            <w:tcW w:w="1418" w:type="dxa"/>
          </w:tcPr>
          <w:p w:rsidR="00FB2404" w:rsidRDefault="000B059D" w:rsidP="00AE6A06">
            <w:r>
              <w:t>2.2.5</w:t>
            </w:r>
            <w:r w:rsidR="00920E14">
              <w:t xml:space="preserve"> annet avsnitt</w:t>
            </w:r>
          </w:p>
        </w:tc>
        <w:tc>
          <w:tcPr>
            <w:tcW w:w="4961" w:type="dxa"/>
          </w:tcPr>
          <w:p w:rsidR="00FB2404" w:rsidRDefault="000B059D" w:rsidP="000B059D">
            <w:r>
              <w:t>Det er tatt inn en presisering av at hvorvidt en funksjon er kritisk eller viktig for kunden skal skje etter en objektiv vurdering.</w:t>
            </w:r>
          </w:p>
        </w:tc>
        <w:tc>
          <w:tcPr>
            <w:tcW w:w="5343" w:type="dxa"/>
          </w:tcPr>
          <w:p w:rsidR="00FB2404" w:rsidRPr="00BD36FD" w:rsidRDefault="000B059D" w:rsidP="00BD36FD">
            <w:r>
              <w:t>Dette innebærer neppe noen realitetsendring, men særlig leverandørsiden har ønsket å få inn denne presiseringen.</w:t>
            </w:r>
          </w:p>
        </w:tc>
      </w:tr>
      <w:tr w:rsidR="00920E14" w:rsidTr="00AD6C7B">
        <w:tc>
          <w:tcPr>
            <w:tcW w:w="2376" w:type="dxa"/>
          </w:tcPr>
          <w:p w:rsidR="00920E14" w:rsidRDefault="00920E14" w:rsidP="00AE6A06">
            <w:r>
              <w:t>Vedlikeholdsavtale med tredjepartsleverandør</w:t>
            </w:r>
            <w:r w:rsidR="00AE6A06">
              <w:t xml:space="preserve"> av standard</w:t>
            </w:r>
            <w:r w:rsidR="00AE6A06">
              <w:softHyphen/>
            </w:r>
            <w:r w:rsidR="00AE6A06">
              <w:softHyphen/>
              <w:t>- programvare</w:t>
            </w:r>
          </w:p>
        </w:tc>
        <w:tc>
          <w:tcPr>
            <w:tcW w:w="1418" w:type="dxa"/>
          </w:tcPr>
          <w:p w:rsidR="00920E14" w:rsidRDefault="00920E14" w:rsidP="00AD6C7B">
            <w:r>
              <w:t>2.2.5 tredje avsnitt</w:t>
            </w:r>
          </w:p>
        </w:tc>
        <w:tc>
          <w:tcPr>
            <w:tcW w:w="4961" w:type="dxa"/>
          </w:tcPr>
          <w:p w:rsidR="00920E14" w:rsidRDefault="00920E14" w:rsidP="00AE6A06">
            <w:r>
              <w:t xml:space="preserve">Leverandøren skal inngå nødvendige avtaler med tredjepartsleverandører av standardprogramvare som omfattes av vedlikeholdet, men som kunden selv ikke har vedlikeholdsavtale med. </w:t>
            </w:r>
            <w:r>
              <w:lastRenderedPageBreak/>
              <w:t>Vedlikeholdsbetingelsene skal inntas i bilag 2. </w:t>
            </w:r>
          </w:p>
        </w:tc>
        <w:tc>
          <w:tcPr>
            <w:tcW w:w="5343" w:type="dxa"/>
          </w:tcPr>
          <w:p w:rsidR="00920E14" w:rsidRDefault="00920E14" w:rsidP="00920E14"/>
        </w:tc>
      </w:tr>
      <w:tr w:rsidR="008E5E6A" w:rsidTr="00AD6C7B">
        <w:tc>
          <w:tcPr>
            <w:tcW w:w="2376" w:type="dxa"/>
          </w:tcPr>
          <w:p w:rsidR="008E5E6A" w:rsidRDefault="008E5E6A" w:rsidP="00AD6C7B">
            <w:r>
              <w:lastRenderedPageBreak/>
              <w:t>Tredjeparts standard</w:t>
            </w:r>
            <w:r>
              <w:softHyphen/>
              <w:t>vilkår – virkning</w:t>
            </w:r>
          </w:p>
        </w:tc>
        <w:tc>
          <w:tcPr>
            <w:tcW w:w="1418" w:type="dxa"/>
          </w:tcPr>
          <w:p w:rsidR="008E5E6A" w:rsidRDefault="008E5E6A" w:rsidP="00AD6C7B">
            <w:r>
              <w:t>2.2.5 fjerde til sjette avsnitt</w:t>
            </w:r>
          </w:p>
          <w:p w:rsidR="008E5E6A" w:rsidRDefault="008E5E6A" w:rsidP="00AD6C7B"/>
        </w:tc>
        <w:tc>
          <w:tcPr>
            <w:tcW w:w="4961" w:type="dxa"/>
          </w:tcPr>
          <w:p w:rsidR="008E5E6A" w:rsidRDefault="008E5E6A" w:rsidP="00AE6A06">
            <w:pPr>
              <w:pStyle w:val="Listeavsnitt"/>
              <w:numPr>
                <w:ilvl w:val="0"/>
                <w:numId w:val="1"/>
              </w:numPr>
              <w:ind w:left="357" w:hanging="357"/>
            </w:pPr>
            <w:r>
              <w:t>Det er innarbeidet bestemmelser for å håndtere vedlikehold av tredjeparts programvare som er levert under standard lisensvilkår og med programvareleverandørens standard vedlikeholdsavtale.</w:t>
            </w:r>
          </w:p>
          <w:p w:rsidR="008E5E6A" w:rsidRDefault="008E5E6A" w:rsidP="00AE6A06">
            <w:pPr>
              <w:pStyle w:val="Listeavsnitt"/>
              <w:numPr>
                <w:ilvl w:val="0"/>
                <w:numId w:val="1"/>
              </w:numPr>
              <w:ind w:left="357" w:hanging="357"/>
            </w:pPr>
            <w:r>
              <w:t>Hvis feilretting krever tilgang til tredjeparts kildekode er leverandørens vedlikeholdsplikt begrenset til å melde og å følge opp feilen samt i rimelig omfang å finne en midlertidig løsning.</w:t>
            </w:r>
          </w:p>
          <w:p w:rsidR="008E5E6A" w:rsidRDefault="008E5E6A" w:rsidP="00AE6A06">
            <w:pPr>
              <w:pStyle w:val="Listeavsnitt"/>
              <w:numPr>
                <w:ilvl w:val="0"/>
                <w:numId w:val="1"/>
              </w:numPr>
              <w:ind w:left="357" w:hanging="357"/>
            </w:pPr>
            <w:r>
              <w:t>Leverandøren er ikke ansvarlig for forsinkelse med feilretting som er omfattet av denne bestemmelsen med mindre det skyldes manglende oppfølging fra leverandørens side.</w:t>
            </w:r>
          </w:p>
          <w:p w:rsidR="00920E14" w:rsidRDefault="008E5E6A" w:rsidP="00AE6A06">
            <w:pPr>
              <w:pStyle w:val="Listeavsnitt"/>
              <w:numPr>
                <w:ilvl w:val="0"/>
                <w:numId w:val="1"/>
              </w:numPr>
              <w:ind w:left="357" w:hanging="357"/>
            </w:pPr>
            <w:r>
              <w:t>Leverandøren skal i rimelig omfang søke å finne en midlertidig løsning mens feilretting hos programvareprodusenten pågår.</w:t>
            </w:r>
            <w:r w:rsidR="00920E14">
              <w:t xml:space="preserve">  </w:t>
            </w:r>
          </w:p>
        </w:tc>
        <w:tc>
          <w:tcPr>
            <w:tcW w:w="5343" w:type="dxa"/>
          </w:tcPr>
          <w:p w:rsidR="008E5E6A" w:rsidRDefault="008E5E6A" w:rsidP="00920E14">
            <w:r>
              <w:t xml:space="preserve">Endringene reflekterer til en viss grad liknende bestemmelser i SSA-T om retting av feil som krever tilgang til standardprogramvarens kildekode (hos tredjepart). I vedlikeholdsavtalen er det imidlertid ikke nødvendigvis leverandøren selv som har valgt programvaren som inngår i vedlikeholdet. Det kan være en annen løsningsleverandør under SSA-T som har valgt standardkomponentene i løsningen. Derfor er også leverandørens ansvar for feilretting </w:t>
            </w:r>
            <w:r w:rsidR="00C62CAF">
              <w:t xml:space="preserve">i SSA-V </w:t>
            </w:r>
            <w:r>
              <w:t>begrenset og vilkårene for at begrensningen skal komme til anvendelse noe lempeligere enn under SSA-T.</w:t>
            </w:r>
            <w:r w:rsidR="00920E14">
              <w:t xml:space="preserve"> </w:t>
            </w:r>
          </w:p>
        </w:tc>
      </w:tr>
      <w:tr w:rsidR="00FB2404" w:rsidTr="00701EB6">
        <w:tc>
          <w:tcPr>
            <w:tcW w:w="2376" w:type="dxa"/>
          </w:tcPr>
          <w:p w:rsidR="00FB2404" w:rsidRDefault="00EC1D9C">
            <w:r>
              <w:t>Programrettelser – installering</w:t>
            </w:r>
          </w:p>
        </w:tc>
        <w:tc>
          <w:tcPr>
            <w:tcW w:w="1418" w:type="dxa"/>
          </w:tcPr>
          <w:p w:rsidR="00FB2404" w:rsidRDefault="00EC1D9C">
            <w:r>
              <w:t>2.2.6</w:t>
            </w:r>
          </w:p>
        </w:tc>
        <w:tc>
          <w:tcPr>
            <w:tcW w:w="4961" w:type="dxa"/>
          </w:tcPr>
          <w:p w:rsidR="00FB2404" w:rsidRDefault="00EC1D9C" w:rsidP="00EC1D9C">
            <w:r>
              <w:t>Leverandøren er ansvarlig for å installere programrettelser hvis det ikke fremgår av bilag 1 at dette skal gjøres av Kunden selv eller Kundens driftsleverandør. Installering av programrettelser inngår i det faste vedlikeholds</w:t>
            </w:r>
            <w:r>
              <w:softHyphen/>
              <w:t>vederlaget med mindre det er priset særskilt i bilag 7.</w:t>
            </w:r>
          </w:p>
        </w:tc>
        <w:tc>
          <w:tcPr>
            <w:tcW w:w="5343" w:type="dxa"/>
          </w:tcPr>
          <w:p w:rsidR="00FB2404" w:rsidRDefault="00EC1D9C" w:rsidP="00EC1D9C">
            <w:r>
              <w:t>Her kan det være rom for mange varianter og kunden bør vurdere hva som er praktisk for den enkelte vedlikeholdsavtale. Formålet med denne og etterfølgende bestemmelse (2.2.7) om nye versjoner har vært å ha klare regler om hvem som gjør hva, og hva som inngår i det avtalte vederlaget, hvis ikke partene klart har avtalt noe annet.</w:t>
            </w:r>
          </w:p>
        </w:tc>
      </w:tr>
      <w:tr w:rsidR="00FB2404" w:rsidTr="00701EB6">
        <w:tc>
          <w:tcPr>
            <w:tcW w:w="2376" w:type="dxa"/>
          </w:tcPr>
          <w:p w:rsidR="00FB2404" w:rsidRDefault="00F42A35" w:rsidP="00F42A35">
            <w:r>
              <w:t>Nye versjoner – hva som er omfattet</w:t>
            </w:r>
          </w:p>
        </w:tc>
        <w:tc>
          <w:tcPr>
            <w:tcW w:w="1418" w:type="dxa"/>
          </w:tcPr>
          <w:p w:rsidR="00FB2404" w:rsidRDefault="00F42A35" w:rsidP="00FF111F">
            <w:r>
              <w:t>2.2.7 første</w:t>
            </w:r>
            <w:r w:rsidR="00247A31">
              <w:t>,</w:t>
            </w:r>
            <w:r>
              <w:t xml:space="preserve"> tredje </w:t>
            </w:r>
            <w:r w:rsidR="00247A31">
              <w:t>og fjerde avsnitt</w:t>
            </w:r>
          </w:p>
        </w:tc>
        <w:tc>
          <w:tcPr>
            <w:tcW w:w="4961" w:type="dxa"/>
          </w:tcPr>
          <w:p w:rsidR="00F42A35" w:rsidRDefault="00F42A35" w:rsidP="00AE6A06">
            <w:pPr>
              <w:pStyle w:val="Listeavsnitt"/>
              <w:numPr>
                <w:ilvl w:val="0"/>
                <w:numId w:val="2"/>
              </w:numPr>
              <w:ind w:left="357" w:hanging="357"/>
            </w:pPr>
            <w:r>
              <w:t xml:space="preserve">Nye versjoner av programvare som er spesifisert i bilag 3, er inkludert i avtalen, med mindre annet fremgår av bilag 1 og 2. </w:t>
            </w:r>
            <w:r w:rsidR="007A38D3">
              <w:t>Det er nå presisert at n</w:t>
            </w:r>
            <w:r>
              <w:t>ye versjoner inngår i det faste vedlikeholdsvederlaget med mindre det er priset særskilt i bilag 7 (f.eks. for større oppgraderinger).</w:t>
            </w:r>
          </w:p>
          <w:p w:rsidR="00247A31" w:rsidRDefault="00F42A35" w:rsidP="00AE6A06">
            <w:pPr>
              <w:pStyle w:val="Listeavsnitt"/>
              <w:numPr>
                <w:ilvl w:val="0"/>
                <w:numId w:val="2"/>
              </w:numPr>
              <w:ind w:left="357" w:hanging="357"/>
            </w:pPr>
            <w:r>
              <w:t xml:space="preserve">Eventuelle tilpasninger som er gjort for Kunden i den versjonen som skal skiftes ut, skal </w:t>
            </w:r>
            <w:r>
              <w:lastRenderedPageBreak/>
              <w:t>Leverandøren implementere i den nye versjonen før den gjøres tilgjengelig for Kunden. Med mindre annet fremgår av bilag 7, utføres tilpasnings- og implementeringsarbeidet i henhold til Leverandørens timesatser for slikt arbeid i bilag 7</w:t>
            </w:r>
            <w:r w:rsidR="00247A31">
              <w:t>.</w:t>
            </w:r>
          </w:p>
          <w:p w:rsidR="00FB2404" w:rsidRDefault="00247A31" w:rsidP="00AE6A06">
            <w:pPr>
              <w:pStyle w:val="Listeavsnitt"/>
              <w:numPr>
                <w:ilvl w:val="0"/>
                <w:numId w:val="2"/>
              </w:numPr>
              <w:ind w:left="357" w:hanging="357"/>
            </w:pPr>
            <w:r>
              <w:t xml:space="preserve">Leverandøren skal gjøre nye versjoner tilgjengelig i minst fire år etter at avtalen trådte i kraft. Disse skal være </w:t>
            </w:r>
            <w:r w:rsidRPr="005109B3">
              <w:t xml:space="preserve">slik at </w:t>
            </w:r>
            <w:r>
              <w:t>k</w:t>
            </w:r>
            <w:r w:rsidRPr="005109B3">
              <w:t xml:space="preserve">unden kan følge anbefalt oppgraderingstakt når det gjelder nye versjoner av </w:t>
            </w:r>
            <w:r>
              <w:t xml:space="preserve">alminnelig brukt </w:t>
            </w:r>
            <w:r w:rsidRPr="005109B3">
              <w:t>programvare</w:t>
            </w:r>
            <w:r>
              <w:t xml:space="preserve"> </w:t>
            </w:r>
            <w:r w:rsidRPr="005109B3">
              <w:t xml:space="preserve">som inngår i </w:t>
            </w:r>
            <w:r>
              <w:t>k</w:t>
            </w:r>
            <w:r w:rsidRPr="005109B3">
              <w:t>undens tekniske plattform</w:t>
            </w:r>
            <w:r w:rsidR="00AE6A06">
              <w:t xml:space="preserve">. </w:t>
            </w:r>
            <w:r>
              <w:t>Unntak kan avtales i bilag 5.</w:t>
            </w:r>
          </w:p>
        </w:tc>
        <w:tc>
          <w:tcPr>
            <w:tcW w:w="5343" w:type="dxa"/>
          </w:tcPr>
          <w:p w:rsidR="00FB2404" w:rsidRDefault="00F42A35" w:rsidP="00AE6A06">
            <w:pPr>
              <w:pStyle w:val="Listeavsnitt"/>
              <w:numPr>
                <w:ilvl w:val="0"/>
                <w:numId w:val="2"/>
              </w:numPr>
              <w:ind w:left="357" w:hanging="357"/>
            </w:pPr>
            <w:r>
              <w:lastRenderedPageBreak/>
              <w:t xml:space="preserve">Se merknad til 2.2.6 ovenfor. Bestemmelsen bør vurderes særskilt for den enkelte vedlikeholdsavtale. </w:t>
            </w:r>
          </w:p>
          <w:p w:rsidR="007A38D3" w:rsidRDefault="007A38D3" w:rsidP="00AE6A06">
            <w:pPr>
              <w:pStyle w:val="Listeavsnitt"/>
              <w:ind w:left="357"/>
            </w:pPr>
            <w:r>
              <w:t>Oppdragsgiver bør bl.a. vurdere den prismessige effekten av å kreve at nye versjoner skal være omfattet av det faste vedlikeholdsvederlaget.</w:t>
            </w:r>
          </w:p>
          <w:p w:rsidR="0062128C" w:rsidRDefault="00FF111F" w:rsidP="0062128C">
            <w:pPr>
              <w:pStyle w:val="Listeavsnitt"/>
              <w:numPr>
                <w:ilvl w:val="0"/>
                <w:numId w:val="2"/>
              </w:numPr>
              <w:ind w:left="357" w:hanging="357"/>
            </w:pPr>
            <w:r>
              <w:t>Det er o</w:t>
            </w:r>
            <w:r w:rsidR="003E01A9">
              <w:t>gså</w:t>
            </w:r>
            <w:r>
              <w:t xml:space="preserve"> viktig at kunden har et bevis</w:t>
            </w:r>
            <w:r w:rsidR="00AE6A06">
              <w:t>s</w:t>
            </w:r>
            <w:r>
              <w:t xml:space="preserve">t forhold til </w:t>
            </w:r>
            <w:r w:rsidR="00F42A35">
              <w:t xml:space="preserve">spørsmålet om hvordan man håndterer </w:t>
            </w:r>
            <w:r w:rsidR="00132276">
              <w:t xml:space="preserve">tilpasninger </w:t>
            </w:r>
            <w:r w:rsidR="00F42A35">
              <w:t xml:space="preserve">som er </w:t>
            </w:r>
            <w:r w:rsidR="00132276">
              <w:t xml:space="preserve">gjort spesielt </w:t>
            </w:r>
            <w:r w:rsidR="00F42A35">
              <w:t xml:space="preserve">for kunden i den opprinnelige versjonen. </w:t>
            </w:r>
            <w:r w:rsidR="00AE6A06">
              <w:t xml:space="preserve">Det kan være hensiktsmessig å avtale </w:t>
            </w:r>
            <w:r w:rsidR="00AE6A06">
              <w:lastRenderedPageBreak/>
              <w:t xml:space="preserve">frister for hvor raskt leverandøren evt. skal </w:t>
            </w:r>
            <w:r w:rsidR="00CA1EAE">
              <w:t xml:space="preserve">iverksette utvikling eller </w:t>
            </w:r>
            <w:r w:rsidR="00AE6A06">
              <w:t xml:space="preserve">ha utviklet </w:t>
            </w:r>
            <w:r w:rsidR="00CA1EAE">
              <w:t xml:space="preserve">ferdig </w:t>
            </w:r>
            <w:r w:rsidR="00AE6A06">
              <w:t xml:space="preserve">slike tilpasninger for kunden etter at en ny versjon er tilgjengelig. </w:t>
            </w:r>
            <w:r w:rsidR="00A26F30">
              <w:t xml:space="preserve">Leverandøren kan kreve betalt for å foreta tilpasningen på nytt for den nye versjonen. Bestemmelsen bør sees i sammenheng med SSA-T </w:t>
            </w:r>
            <w:r w:rsidR="0045267D">
              <w:t>2015 punkt 10.2.3 om vedlikeholdbarhet (hvis programvaren er levert under den avtalen).</w:t>
            </w:r>
          </w:p>
          <w:p w:rsidR="00247A31" w:rsidRDefault="00247A31" w:rsidP="0062128C">
            <w:pPr>
              <w:pStyle w:val="Listeavsnitt"/>
              <w:numPr>
                <w:ilvl w:val="0"/>
                <w:numId w:val="2"/>
              </w:numPr>
              <w:ind w:left="357" w:hanging="357"/>
            </w:pPr>
            <w:r>
              <w:t>Leverandøren må sørge for at kunden kan benytte programvaren som vedlikeholdes sammen med "vanlig brukt" programvare i kundens tekniske plattform i minst fire år, typisk Windows-programvare mv.</w:t>
            </w:r>
          </w:p>
        </w:tc>
      </w:tr>
      <w:tr w:rsidR="00FB2404" w:rsidTr="00701EB6">
        <w:tc>
          <w:tcPr>
            <w:tcW w:w="2376" w:type="dxa"/>
          </w:tcPr>
          <w:p w:rsidR="00FB2404" w:rsidRDefault="00F42A35" w:rsidP="00172B45">
            <w:r>
              <w:lastRenderedPageBreak/>
              <w:t>Nye versjoner – installering</w:t>
            </w:r>
          </w:p>
        </w:tc>
        <w:tc>
          <w:tcPr>
            <w:tcW w:w="1418" w:type="dxa"/>
          </w:tcPr>
          <w:p w:rsidR="00FB2404" w:rsidRDefault="00F42A35" w:rsidP="00FF111F">
            <w:r>
              <w:t>2.2.7 annet avsnitt</w:t>
            </w:r>
          </w:p>
        </w:tc>
        <w:tc>
          <w:tcPr>
            <w:tcW w:w="4961" w:type="dxa"/>
          </w:tcPr>
          <w:p w:rsidR="00FB2404" w:rsidRDefault="00F42A35" w:rsidP="00172B45">
            <w:r>
              <w:t>Kunden installerer vanligvis selv, men kan be leverandøren om bistand. Installasjon skjer iht</w:t>
            </w:r>
            <w:r w:rsidR="00FF111F">
              <w:t>.</w:t>
            </w:r>
            <w:r>
              <w:t xml:space="preserve"> leverandørens standard timesatser med mindre annet er avtalt.</w:t>
            </w:r>
          </w:p>
        </w:tc>
        <w:tc>
          <w:tcPr>
            <w:tcW w:w="5343" w:type="dxa"/>
          </w:tcPr>
          <w:p w:rsidR="00FB2404" w:rsidRDefault="00075FD6" w:rsidP="00BD36FD">
            <w:r>
              <w:t>Bestemmelsene om fysisk distribusjon er fjernet. Programvaren kan gjøres tilgjengelig for nedlasting via nettet.</w:t>
            </w:r>
          </w:p>
        </w:tc>
      </w:tr>
      <w:tr w:rsidR="00FB2404" w:rsidTr="00701EB6">
        <w:tc>
          <w:tcPr>
            <w:tcW w:w="2376" w:type="dxa"/>
          </w:tcPr>
          <w:p w:rsidR="00FB2404" w:rsidRDefault="00CF5B94" w:rsidP="00172B45">
            <w:r>
              <w:t>Ytterligere utvikling</w:t>
            </w:r>
          </w:p>
        </w:tc>
        <w:tc>
          <w:tcPr>
            <w:tcW w:w="1418" w:type="dxa"/>
          </w:tcPr>
          <w:p w:rsidR="00FB2404" w:rsidRDefault="00CF5B94">
            <w:r>
              <w:t>2.2.8</w:t>
            </w:r>
          </w:p>
        </w:tc>
        <w:tc>
          <w:tcPr>
            <w:tcW w:w="4961" w:type="dxa"/>
          </w:tcPr>
          <w:p w:rsidR="00FB2404" w:rsidRDefault="00CF5B94" w:rsidP="002303D8">
            <w:pPr>
              <w:pStyle w:val="Listeavsnitt"/>
              <w:numPr>
                <w:ilvl w:val="0"/>
                <w:numId w:val="3"/>
              </w:numPr>
              <w:ind w:left="357" w:hanging="357"/>
            </w:pPr>
            <w:r>
              <w:t>Kunden kan bestille videreutvikling av programvaren som omfattes av vedlikeholdsavtalen, innenfor rammene beskrevet i bilag 1 og bilag 2,</w:t>
            </w:r>
            <w:r w:rsidRPr="00B91E7F">
              <w:t xml:space="preserve"> </w:t>
            </w:r>
            <w:r>
              <w:t>herunder utvikling av tillegg av moderat omfang. Vederlaget for slik ytterligere utvikling er Leverandørens ordinære timepris som fremgår i bilag 7.</w:t>
            </w:r>
          </w:p>
          <w:p w:rsidR="00CF5B94" w:rsidRDefault="00CF5B94" w:rsidP="002303D8">
            <w:pPr>
              <w:pStyle w:val="Listeavsnitt"/>
              <w:numPr>
                <w:ilvl w:val="0"/>
                <w:numId w:val="3"/>
              </w:numPr>
              <w:ind w:left="357" w:hanging="357"/>
            </w:pPr>
            <w:r>
              <w:t>Programvaren som blir utviklet etter dette punktet, blir en del av den programvaren som skal vedlikeholdes under denne avtalen. Hvis vedlikeholds</w:t>
            </w:r>
            <w:r>
              <w:softHyphen/>
              <w:t>vederlaget skal endres, skal dette fremgå klart av avtalen om utviklingsoppdraget.</w:t>
            </w:r>
          </w:p>
        </w:tc>
        <w:tc>
          <w:tcPr>
            <w:tcW w:w="5343" w:type="dxa"/>
          </w:tcPr>
          <w:p w:rsidR="00FB2404" w:rsidRDefault="00CF5B94" w:rsidP="00CA1EAE">
            <w:r>
              <w:t>Bestemmelsen er en nyskapning i SSA-V som har vært savnet av mange</w:t>
            </w:r>
            <w:r w:rsidR="0062128C">
              <w:t xml:space="preserve"> kunder som er underlagt regelverket om offentlige anskaffelser</w:t>
            </w:r>
            <w:r>
              <w:t xml:space="preserve">. Den innebærer at vedlikeholdsleverandøren også kan levere utviklingsarbeid utover rent vedlikehold. </w:t>
            </w:r>
            <w:r w:rsidR="005B52EC">
              <w:t>Formålet med bestemmelsen er å</w:t>
            </w:r>
            <w:r w:rsidR="0062128C">
              <w:t xml:space="preserve"> legge til rette for </w:t>
            </w:r>
            <w:r w:rsidR="00154835">
              <w:t>at kunden kan få uført de oppgaver som er nødvendig for å holde programvaren tidsmessig og egnet for kundens behov gjennom avtaleperioden</w:t>
            </w:r>
            <w:r w:rsidR="005B52EC">
              <w:t xml:space="preserve">, se også punkt 2.2.9 nedenfor. </w:t>
            </w:r>
            <w:r>
              <w:t xml:space="preserve">En forutsetning for at dette skal kunne skje uten ny anskaffelse, er imidlertid at </w:t>
            </w:r>
            <w:r w:rsidR="005B52EC">
              <w:t xml:space="preserve">rammene for </w:t>
            </w:r>
            <w:r>
              <w:t xml:space="preserve">slikt fremtidig utviklingsarbeid er beskrevet i bilag 1 og 2, f.eks. ved å beskrive et målbilde for kundens bruk av løsningen </w:t>
            </w:r>
            <w:r w:rsidR="005B52EC">
              <w:t xml:space="preserve">i avtaleperioden </w:t>
            </w:r>
            <w:r>
              <w:t>(inkl</w:t>
            </w:r>
            <w:r w:rsidR="00FF111F">
              <w:t>.</w:t>
            </w:r>
            <w:r>
              <w:t xml:space="preserve"> </w:t>
            </w:r>
            <w:r w:rsidR="005B52EC">
              <w:t xml:space="preserve">mulige </w:t>
            </w:r>
            <w:r>
              <w:t xml:space="preserve">omfangsendringer, organisasjonsendringer, ny funksjonalitet som ligger innenfor det opprinnelige behovet mv). </w:t>
            </w:r>
            <w:r w:rsidR="0062128C">
              <w:t xml:space="preserve">Målbildet må </w:t>
            </w:r>
            <w:r w:rsidR="0062128C">
              <w:lastRenderedPageBreak/>
              <w:t xml:space="preserve">være presist nok til at det gir en noenlunde klar avgrensning av </w:t>
            </w:r>
            <w:r w:rsidR="00CA1EAE">
              <w:t xml:space="preserve">avtalens </w:t>
            </w:r>
            <w:r w:rsidR="00B70831">
              <w:t xml:space="preserve">(og den opprinnelige anskaffelsens) </w:t>
            </w:r>
            <w:r w:rsidR="0062128C">
              <w:t>omfang.</w:t>
            </w:r>
          </w:p>
        </w:tc>
      </w:tr>
      <w:tr w:rsidR="00FB2404" w:rsidTr="00701EB6">
        <w:tc>
          <w:tcPr>
            <w:tcW w:w="2376" w:type="dxa"/>
          </w:tcPr>
          <w:p w:rsidR="00FB2404" w:rsidRDefault="00CF5B94" w:rsidP="00172B45">
            <w:r>
              <w:lastRenderedPageBreak/>
              <w:t>Kompletteringskjøp</w:t>
            </w:r>
          </w:p>
        </w:tc>
        <w:tc>
          <w:tcPr>
            <w:tcW w:w="1418" w:type="dxa"/>
          </w:tcPr>
          <w:p w:rsidR="00FB2404" w:rsidRDefault="00CF5B94">
            <w:r>
              <w:t>2.2.9</w:t>
            </w:r>
          </w:p>
        </w:tc>
        <w:tc>
          <w:tcPr>
            <w:tcW w:w="4961" w:type="dxa"/>
          </w:tcPr>
          <w:p w:rsidR="00FB2404" w:rsidRDefault="00154835" w:rsidP="002D03B0">
            <w:r w:rsidRPr="007E0265">
              <w:t>Kunden kan gjennom hele avtaleperioden foreta kompletteringskjøp og lisensutvidelser i den utstrekning det ligger innenfor, og er nødvendig for å opprettholde eller oppnå, det samlede målbildet for leveransen som er beskrevet i bilag 1.</w:t>
            </w:r>
          </w:p>
        </w:tc>
        <w:tc>
          <w:tcPr>
            <w:tcW w:w="5343" w:type="dxa"/>
          </w:tcPr>
          <w:p w:rsidR="00FB2404" w:rsidRDefault="00951BE3" w:rsidP="00951BE3">
            <w:r>
              <w:t xml:space="preserve">Hva som menes med kompletteringskjøp og lisensutvidelser fremgår av andre til fjerde avsnitt i bestemmelsen. Formålet </w:t>
            </w:r>
            <w:r w:rsidR="000E6F5D">
              <w:t xml:space="preserve">med kompletteringskjøp </w:t>
            </w:r>
            <w:r>
              <w:t>er å sikre at programvaren, og det som trengs for å anvende den, holdes tidsmessig gjennom avtaleperioden. Se også merknad til punkt 2.2.10 ovenfor.</w:t>
            </w:r>
          </w:p>
        </w:tc>
      </w:tr>
      <w:tr w:rsidR="00FB2404" w:rsidTr="00701EB6">
        <w:tc>
          <w:tcPr>
            <w:tcW w:w="2376" w:type="dxa"/>
          </w:tcPr>
          <w:p w:rsidR="00FB2404" w:rsidRDefault="007D19AF" w:rsidP="00C00892">
            <w:r>
              <w:t>Tilleggstjenester</w:t>
            </w:r>
          </w:p>
        </w:tc>
        <w:tc>
          <w:tcPr>
            <w:tcW w:w="1418" w:type="dxa"/>
          </w:tcPr>
          <w:p w:rsidR="00FB2404" w:rsidRDefault="007D19AF">
            <w:r>
              <w:t>2.2.10</w:t>
            </w:r>
          </w:p>
        </w:tc>
        <w:tc>
          <w:tcPr>
            <w:tcW w:w="4961" w:type="dxa"/>
          </w:tcPr>
          <w:p w:rsidR="00FB2404" w:rsidRDefault="007D19AF" w:rsidP="00C00892">
            <w:r>
              <w:t>Kunden har anledning til å bestille tilleggstjenester som står i naturlig forbindelse med vedlikeholdet, som f.eks. perioder med utvidet beredskap, overvåking, bistand til testing av endringer og nye versjoner mv. Tjenestene og vederlaget for disse skal være beskrevet i Leverandørens tjenestekatalog som er en del av bilag 7.</w:t>
            </w:r>
          </w:p>
        </w:tc>
        <w:tc>
          <w:tcPr>
            <w:tcW w:w="5343" w:type="dxa"/>
          </w:tcPr>
          <w:p w:rsidR="00FB2404" w:rsidRDefault="007D19AF" w:rsidP="007D19AF">
            <w:r>
              <w:t>En liknende bestemmelse fantes i tidligere utgave av SSA-V, men den nye bestemmelsen er tydeligere på hva slags tjenester det kan være snakk om. Tjenestene skal være angitt i bilag 7.</w:t>
            </w:r>
          </w:p>
        </w:tc>
      </w:tr>
      <w:tr w:rsidR="00FB2404" w:rsidTr="00701EB6">
        <w:tc>
          <w:tcPr>
            <w:tcW w:w="2376" w:type="dxa"/>
          </w:tcPr>
          <w:p w:rsidR="00FB2404" w:rsidRDefault="008E256B" w:rsidP="008E256B">
            <w:r>
              <w:t>Rapportering SLA</w:t>
            </w:r>
          </w:p>
        </w:tc>
        <w:tc>
          <w:tcPr>
            <w:tcW w:w="1418" w:type="dxa"/>
          </w:tcPr>
          <w:p w:rsidR="00FB2404" w:rsidRDefault="008E256B">
            <w:r>
              <w:t>2.3</w:t>
            </w:r>
          </w:p>
        </w:tc>
        <w:tc>
          <w:tcPr>
            <w:tcW w:w="4961" w:type="dxa"/>
          </w:tcPr>
          <w:p w:rsidR="00FB2404" w:rsidRDefault="008E256B" w:rsidP="00C00892">
            <w:r>
              <w:t>Hvis det er avtalt tjenestenivå for vedlikeholdsytelsen i bilag 5, skal Kunden motta jevnlige rapporter som dokumenterer at ytelsen holder avtalt nivå, og viser eventuelle avvik. Hvis ikke annet er bestemt, skal rapportering skje månedlig. Rapporteringen skal dekke alle vesentlige punkter i reguleringen av tjenestenivå.</w:t>
            </w:r>
          </w:p>
        </w:tc>
        <w:tc>
          <w:tcPr>
            <w:tcW w:w="5343" w:type="dxa"/>
          </w:tcPr>
          <w:p w:rsidR="00FB2404" w:rsidRDefault="008E256B" w:rsidP="002303D8">
            <w:r>
              <w:t xml:space="preserve">Bestemmelsen inneholder minimumskrav til rapportering av hvorvidt leverandøren </w:t>
            </w:r>
            <w:r w:rsidR="00AC52EE">
              <w:t xml:space="preserve">har </w:t>
            </w:r>
            <w:r>
              <w:t>overhold</w:t>
            </w:r>
            <w:r w:rsidR="00AC52EE">
              <w:t>t</w:t>
            </w:r>
            <w:r>
              <w:t xml:space="preserve"> avtalt </w:t>
            </w:r>
            <w:r w:rsidR="00AC52EE">
              <w:t>tjenestenivå (</w:t>
            </w:r>
            <w:r>
              <w:t>SLA</w:t>
            </w:r>
            <w:r w:rsidR="00AC52EE">
              <w:t>) i rapporteringsperioden</w:t>
            </w:r>
            <w:r>
              <w:t xml:space="preserve">. </w:t>
            </w:r>
            <w:r w:rsidR="00E95BFD">
              <w:t>Den skal også inneholde oversikt over antall meldte feil mv.</w:t>
            </w:r>
            <w:r w:rsidR="002303D8">
              <w:t xml:space="preserve"> </w:t>
            </w:r>
            <w:r>
              <w:t xml:space="preserve">Bestemmelsen </w:t>
            </w:r>
            <w:r w:rsidR="002303D8">
              <w:t xml:space="preserve">bør sees i sammenheng med </w:t>
            </w:r>
            <w:r>
              <w:t>punkt 2.2.2 som gjelder rapportering av hvilket vedlikehold som har vært utført.</w:t>
            </w:r>
          </w:p>
        </w:tc>
      </w:tr>
      <w:tr w:rsidR="00FB2404" w:rsidTr="00701EB6">
        <w:tc>
          <w:tcPr>
            <w:tcW w:w="2376" w:type="dxa"/>
          </w:tcPr>
          <w:p w:rsidR="00FB2404" w:rsidRDefault="00B31BF8" w:rsidP="00C00892">
            <w:r>
              <w:t>Endringer</w:t>
            </w:r>
          </w:p>
        </w:tc>
        <w:tc>
          <w:tcPr>
            <w:tcW w:w="1418" w:type="dxa"/>
          </w:tcPr>
          <w:p w:rsidR="00FB2404" w:rsidRDefault="00B31BF8">
            <w:r>
              <w:t>Kapittel 3</w:t>
            </w:r>
          </w:p>
        </w:tc>
        <w:tc>
          <w:tcPr>
            <w:tcW w:w="4961" w:type="dxa"/>
          </w:tcPr>
          <w:p w:rsidR="00FB2404" w:rsidRDefault="00B31BF8" w:rsidP="00B31BF8">
            <w:r>
              <w:t>Avtalen inneholder ikke lenger noen ensidig rett for kunden til å pålegge endringer, men en mulighet for kunden til å anmode om endringsavtale. Reguleringen er kortfattet og endring forutsetter at partene blir enige.</w:t>
            </w:r>
          </w:p>
        </w:tc>
        <w:tc>
          <w:tcPr>
            <w:tcW w:w="5343" w:type="dxa"/>
          </w:tcPr>
          <w:p w:rsidR="00FB2404" w:rsidRDefault="00B31BF8" w:rsidP="00F46539">
            <w:r>
              <w:t>Bestemmelsen må sees i sammenheng med punkt 2.2.8 og 2.2.9 om videreutvikling og kompletteringskjøp mv, som er nye muligheter for kunden</w:t>
            </w:r>
            <w:r w:rsidR="00F46539">
              <w:t xml:space="preserve"> samt punkt 2.2.10 om tilleggstjenester</w:t>
            </w:r>
            <w:r>
              <w:t xml:space="preserve">. </w:t>
            </w:r>
          </w:p>
        </w:tc>
      </w:tr>
      <w:tr w:rsidR="00FB2404" w:rsidTr="00701EB6">
        <w:tc>
          <w:tcPr>
            <w:tcW w:w="2376" w:type="dxa"/>
          </w:tcPr>
          <w:p w:rsidR="00FB2404" w:rsidRDefault="007D3666" w:rsidP="00C00892">
            <w:r>
              <w:t>Varighet</w:t>
            </w:r>
          </w:p>
        </w:tc>
        <w:tc>
          <w:tcPr>
            <w:tcW w:w="1418" w:type="dxa"/>
          </w:tcPr>
          <w:p w:rsidR="00FB2404" w:rsidRDefault="001C44FD">
            <w:r>
              <w:t>4.1</w:t>
            </w:r>
          </w:p>
        </w:tc>
        <w:tc>
          <w:tcPr>
            <w:tcW w:w="4961" w:type="dxa"/>
          </w:tcPr>
          <w:p w:rsidR="00FB2404" w:rsidRDefault="007D3666" w:rsidP="00EC22CD">
            <w:r>
              <w:t xml:space="preserve">Avtalelens varighet er økt til 3 år som </w:t>
            </w:r>
            <w:r w:rsidR="001C44FD">
              <w:t>standard</w:t>
            </w:r>
            <w:r>
              <w:t>, med automatisk årlig fornyelse for ett år av gangen. Kunden kan si opp med 3 måneders varsel før fornyelse, mens leverandøren kan si opp med 12 måneders varsel, med mindre leverandøre</w:t>
            </w:r>
            <w:r w:rsidR="001C44FD">
              <w:t>n</w:t>
            </w:r>
            <w:r>
              <w:t xml:space="preserve"> er alene </w:t>
            </w:r>
            <w:r>
              <w:lastRenderedPageBreak/>
              <w:t xml:space="preserve">om å levere </w:t>
            </w:r>
            <w:r w:rsidR="001C44FD">
              <w:t xml:space="preserve">vedlikehold av </w:t>
            </w:r>
            <w:r>
              <w:t>vesentlig</w:t>
            </w:r>
            <w:r w:rsidR="001C44FD">
              <w:t>e</w:t>
            </w:r>
            <w:r>
              <w:t xml:space="preserve"> deler av programvare</w:t>
            </w:r>
            <w:r w:rsidR="001C44FD">
              <w:t xml:space="preserve">n. I så fall </w:t>
            </w:r>
            <w:r>
              <w:t xml:space="preserve">vil oppsigelsesfristen være 24 måneder </w:t>
            </w:r>
            <w:r w:rsidR="001C44FD">
              <w:t xml:space="preserve">og </w:t>
            </w:r>
            <w:r>
              <w:t xml:space="preserve">første gang etter 4 </w:t>
            </w:r>
            <w:r w:rsidR="00FF111F">
              <w:t xml:space="preserve">år </w:t>
            </w:r>
            <w:r>
              <w:t>(altså min</w:t>
            </w:r>
            <w:r w:rsidR="00EC22CD">
              <w:t>imum</w:t>
            </w:r>
            <w:r>
              <w:t xml:space="preserve"> 6 år).</w:t>
            </w:r>
          </w:p>
        </w:tc>
        <w:tc>
          <w:tcPr>
            <w:tcW w:w="5343" w:type="dxa"/>
          </w:tcPr>
          <w:p w:rsidR="00FB2404" w:rsidRDefault="001C44FD" w:rsidP="0026697A">
            <w:r>
              <w:lastRenderedPageBreak/>
              <w:t xml:space="preserve">Det er lagt opp til en lengre initiell varighet enn tidligere og oppsigelsesadgang også for leverandøren. For de tilfellene at leverandøren er alene om å levere vedlikehold </w:t>
            </w:r>
            <w:r w:rsidR="0026697A">
              <w:t>av</w:t>
            </w:r>
            <w:r>
              <w:t xml:space="preserve"> den aktuelle løsningen, er det tatt inn en særlig oppsigelsesfrist (og lengde) for å sikre kunden </w:t>
            </w:r>
            <w:r>
              <w:lastRenderedPageBreak/>
              <w:t>rimelig forutberegnelighet og tid til å områ seg, i og med at avsluttet vedlikehold vil medføre behov for å bytte system.</w:t>
            </w:r>
          </w:p>
        </w:tc>
      </w:tr>
      <w:tr w:rsidR="00FB2404" w:rsidTr="00701EB6">
        <w:tc>
          <w:tcPr>
            <w:tcW w:w="2376" w:type="dxa"/>
          </w:tcPr>
          <w:p w:rsidR="00FB2404" w:rsidRDefault="00245045" w:rsidP="00C00892">
            <w:r>
              <w:lastRenderedPageBreak/>
              <w:t>Avbestilling</w:t>
            </w:r>
          </w:p>
        </w:tc>
        <w:tc>
          <w:tcPr>
            <w:tcW w:w="1418" w:type="dxa"/>
          </w:tcPr>
          <w:p w:rsidR="00FB2404" w:rsidRDefault="00245045">
            <w:r>
              <w:t>4.2</w:t>
            </w:r>
          </w:p>
        </w:tc>
        <w:tc>
          <w:tcPr>
            <w:tcW w:w="4961" w:type="dxa"/>
          </w:tcPr>
          <w:p w:rsidR="00FB2404" w:rsidRDefault="00EC22CD" w:rsidP="00EC22CD">
            <w:r>
              <w:t xml:space="preserve">Fristen for avbestilling er økt fra én til tre måneders varsel. </w:t>
            </w:r>
            <w:r w:rsidR="00245045">
              <w:t>Avbestillingsbestemmelsens regler om avbestillingsvederlag er supplert med en avgrensning som innebærer at det samlede avbestillingsvederlaget ikke kan overstige resten av det beløp som Leverandøren ville ha krav på frem til neste ordinære fornyelse av avtalen.</w:t>
            </w:r>
          </w:p>
        </w:tc>
        <w:tc>
          <w:tcPr>
            <w:tcW w:w="5343" w:type="dxa"/>
          </w:tcPr>
          <w:p w:rsidR="00FB2404" w:rsidRDefault="00245045" w:rsidP="00245045">
            <w:r>
              <w:t xml:space="preserve">Det skal med andre ord aldri være dyrere å avbestille i løpet av en vedlikeholdsperiode enn å stå perioden ut.  </w:t>
            </w:r>
          </w:p>
        </w:tc>
      </w:tr>
      <w:tr w:rsidR="00FB2404" w:rsidTr="00701EB6">
        <w:tc>
          <w:tcPr>
            <w:tcW w:w="2376" w:type="dxa"/>
          </w:tcPr>
          <w:p w:rsidR="00FB2404" w:rsidRDefault="00691404" w:rsidP="00C00892">
            <w:r>
              <w:t>Avslutningsperioden</w:t>
            </w:r>
          </w:p>
        </w:tc>
        <w:tc>
          <w:tcPr>
            <w:tcW w:w="1418" w:type="dxa"/>
          </w:tcPr>
          <w:p w:rsidR="00FB2404" w:rsidRDefault="00691404">
            <w:r>
              <w:t>4.3</w:t>
            </w:r>
          </w:p>
        </w:tc>
        <w:tc>
          <w:tcPr>
            <w:tcW w:w="4961" w:type="dxa"/>
          </w:tcPr>
          <w:p w:rsidR="00691404" w:rsidRDefault="00691404" w:rsidP="00A94596">
            <w:pPr>
              <w:pStyle w:val="Listeavsnitt"/>
              <w:numPr>
                <w:ilvl w:val="0"/>
                <w:numId w:val="5"/>
              </w:numPr>
              <w:ind w:left="357" w:hanging="357"/>
            </w:pPr>
            <w:r>
              <w:t>Reguleringen av avslutningsperioden er presisert mht</w:t>
            </w:r>
            <w:r w:rsidR="00FF111F">
              <w:t>.</w:t>
            </w:r>
            <w:r>
              <w:t xml:space="preserve"> når den begynner å løpe og hvor lenge den varer. Leverandøren er forpliktet til å bidra med nødvendig kompetanseoverføring til ny vedlikeholdsleverandør, tjenestens art tatt i betraktning, men er ikke pliktig til å bistå med grunnleggende kompetanseoverføring eller med kompetanseoverføring knyttet til Leverandørens forretningshemmeligheter. </w:t>
            </w:r>
          </w:p>
          <w:p w:rsidR="00FB2404" w:rsidRDefault="00691404" w:rsidP="00A94596">
            <w:pPr>
              <w:pStyle w:val="Listeavsnitt"/>
              <w:numPr>
                <w:ilvl w:val="0"/>
                <w:numId w:val="5"/>
              </w:numPr>
              <w:ind w:left="357" w:hanging="357"/>
            </w:pPr>
            <w:r>
              <w:t>Kunden skal utarbeide en avslutningsplan som regulerer samspillet som er nødvendig ved overføring av vedlikeholdsansvar og levere informasjon som er nødvendig for å forberede ny avtale. Leverandøren skal også legge til rette for tilgang til informasjon fra underleverandører.</w:t>
            </w:r>
          </w:p>
          <w:p w:rsidR="00A94596" w:rsidRDefault="00A94596" w:rsidP="00A94596">
            <w:pPr>
              <w:pStyle w:val="Listeavsnitt"/>
              <w:numPr>
                <w:ilvl w:val="0"/>
                <w:numId w:val="5"/>
              </w:numPr>
              <w:ind w:left="357" w:hanging="357"/>
            </w:pPr>
            <w:r>
              <w:t>Det beløp kunden kan holde tilbake til sikkerhet for korrekt oppfyllelse i avslutningsperioden er redusert fra to til én måneds vederlag.</w:t>
            </w:r>
          </w:p>
        </w:tc>
        <w:tc>
          <w:tcPr>
            <w:tcW w:w="5343" w:type="dxa"/>
          </w:tcPr>
          <w:p w:rsidR="00FB2404" w:rsidRDefault="00691404" w:rsidP="00A94596">
            <w:pPr>
              <w:pStyle w:val="Listeavsnitt"/>
              <w:numPr>
                <w:ilvl w:val="0"/>
                <w:numId w:val="5"/>
              </w:numPr>
            </w:pPr>
            <w:r w:rsidRPr="00D05902">
              <w:t>Avslutningsperioden</w:t>
            </w:r>
            <w:r w:rsidRPr="00D05902" w:rsidDel="00574571">
              <w:t xml:space="preserve"> </w:t>
            </w:r>
            <w:r w:rsidRPr="00D05902">
              <w:t xml:space="preserve">varer </w:t>
            </w:r>
            <w:r w:rsidRPr="008A45C0">
              <w:t xml:space="preserve">fra dato for varsel om oppsigelse, avbestilling eller heving og </w:t>
            </w:r>
            <w:r>
              <w:t>til avtalen opphører. Kunden har rett til oppfølgende bistand i 60 dager etter at vedlikeholdstjenesten er etablert hos ny leverandør også om dette skjer etter at avtalen for øvrig er opphørt.</w:t>
            </w:r>
          </w:p>
          <w:p w:rsidR="00A94596" w:rsidRDefault="00A94596" w:rsidP="00A94596">
            <w:pPr>
              <w:pStyle w:val="Listeavsnitt"/>
              <w:numPr>
                <w:ilvl w:val="0"/>
                <w:numId w:val="5"/>
              </w:numPr>
            </w:pPr>
            <w:r>
              <w:t>Begrepet forretningshemmeligheter bør antakelig forstås i lys av henvisningen til forvaltningslovens taushetspliktsregler i punkt 7.1.</w:t>
            </w:r>
          </w:p>
        </w:tc>
      </w:tr>
      <w:tr w:rsidR="00FB2404" w:rsidTr="00701EB6">
        <w:tc>
          <w:tcPr>
            <w:tcW w:w="2376" w:type="dxa"/>
          </w:tcPr>
          <w:p w:rsidR="00FB2404" w:rsidRDefault="00A95994" w:rsidP="00C00892">
            <w:r>
              <w:t>Midlertidig forlengelse</w:t>
            </w:r>
          </w:p>
        </w:tc>
        <w:tc>
          <w:tcPr>
            <w:tcW w:w="1418" w:type="dxa"/>
          </w:tcPr>
          <w:p w:rsidR="00FB2404" w:rsidRDefault="00A95994">
            <w:r>
              <w:t>4.4</w:t>
            </w:r>
          </w:p>
        </w:tc>
        <w:tc>
          <w:tcPr>
            <w:tcW w:w="4961" w:type="dxa"/>
          </w:tcPr>
          <w:p w:rsidR="00FB2404" w:rsidRDefault="00A95994" w:rsidP="00CA58EC">
            <w:r>
              <w:t>Fristen for å be om midlertidig forlengelse er utvidet fra 30 til 60 dager.</w:t>
            </w:r>
          </w:p>
        </w:tc>
        <w:tc>
          <w:tcPr>
            <w:tcW w:w="5343" w:type="dxa"/>
          </w:tcPr>
          <w:p w:rsidR="00FB2404" w:rsidRDefault="00FB2404" w:rsidP="003211A3"/>
        </w:tc>
      </w:tr>
      <w:tr w:rsidR="00FB2404" w:rsidTr="00701EB6">
        <w:tc>
          <w:tcPr>
            <w:tcW w:w="2376" w:type="dxa"/>
          </w:tcPr>
          <w:p w:rsidR="00FB2404" w:rsidRDefault="00252821" w:rsidP="00C00892">
            <w:r>
              <w:t>Underleverandører</w:t>
            </w:r>
            <w:r w:rsidR="00C30097">
              <w:t xml:space="preserve"> og samarbeid med tredjepart</w:t>
            </w:r>
          </w:p>
        </w:tc>
        <w:tc>
          <w:tcPr>
            <w:tcW w:w="1418" w:type="dxa"/>
          </w:tcPr>
          <w:p w:rsidR="00FB2404" w:rsidRDefault="00252821">
            <w:r>
              <w:t>5.3</w:t>
            </w:r>
          </w:p>
        </w:tc>
        <w:tc>
          <w:tcPr>
            <w:tcW w:w="4961" w:type="dxa"/>
          </w:tcPr>
          <w:p w:rsidR="00FB2404" w:rsidRDefault="00C30097" w:rsidP="00C30097">
            <w:r>
              <w:t>Bestemmelsen om godkjenning av underleverandører er avgrenset til underleverandør som direkte medvirker til oppfyllelse av leveransen.</w:t>
            </w:r>
          </w:p>
          <w:p w:rsidR="00C30097" w:rsidRDefault="00C30097" w:rsidP="00C30097">
            <w:r>
              <w:t>Det er presisert at Leverandøren skal samarbeide med Kundens andre leverandører og tredjeparter, herunder eventuell driftsleverandør og leverandører av tredjeparts programvare som omfattes av vedlikeholdsavtalen.</w:t>
            </w:r>
          </w:p>
        </w:tc>
        <w:tc>
          <w:tcPr>
            <w:tcW w:w="5343" w:type="dxa"/>
          </w:tcPr>
          <w:p w:rsidR="00FB2404" w:rsidRDefault="00C30097" w:rsidP="00CA58EC">
            <w:r>
              <w:t>Samhandlingen med tredjepart skal beskrives i samhandlingsplanen (se punkt 2.1.2).</w:t>
            </w:r>
          </w:p>
        </w:tc>
      </w:tr>
      <w:tr w:rsidR="00FB2404" w:rsidTr="00701EB6">
        <w:tc>
          <w:tcPr>
            <w:tcW w:w="2376" w:type="dxa"/>
          </w:tcPr>
          <w:p w:rsidR="00FB2404" w:rsidRDefault="006B393F" w:rsidP="00C00892">
            <w:r>
              <w:t>Lønns- og arbeidsvilkår</w:t>
            </w:r>
          </w:p>
        </w:tc>
        <w:tc>
          <w:tcPr>
            <w:tcW w:w="1418" w:type="dxa"/>
          </w:tcPr>
          <w:p w:rsidR="00FB2404" w:rsidRDefault="006B393F">
            <w:r>
              <w:t>5.4</w:t>
            </w:r>
          </w:p>
        </w:tc>
        <w:tc>
          <w:tcPr>
            <w:tcW w:w="4961" w:type="dxa"/>
          </w:tcPr>
          <w:p w:rsidR="00FB2404" w:rsidRDefault="00A94596" w:rsidP="00CA58EC">
            <w:r>
              <w:t>Det er presisert at bestemmelsene om vilkår iht forskrift om allmengjort tariffavtale gjelder egne og "eventuelle underleverandørers ansatte som direkte medvirker til å oppfylle Leverandørens forpliktelser under denne avtalen". Bestemmelsen om landsomfattende tariffavtale for den aktuelle bransje gjelder de samme ansatte, men bare for arbeid som utføres i Norge.</w:t>
            </w:r>
          </w:p>
        </w:tc>
        <w:tc>
          <w:tcPr>
            <w:tcW w:w="5343" w:type="dxa"/>
          </w:tcPr>
          <w:p w:rsidR="00FB2404" w:rsidRDefault="00FB2404" w:rsidP="00CA58EC"/>
        </w:tc>
      </w:tr>
      <w:tr w:rsidR="00FB2404" w:rsidTr="00701EB6">
        <w:tc>
          <w:tcPr>
            <w:tcW w:w="2376" w:type="dxa"/>
          </w:tcPr>
          <w:p w:rsidR="00FB2404" w:rsidRDefault="00F37E91" w:rsidP="00C00892">
            <w:r>
              <w:t>Kundens plikter</w:t>
            </w:r>
          </w:p>
        </w:tc>
        <w:tc>
          <w:tcPr>
            <w:tcW w:w="1418" w:type="dxa"/>
          </w:tcPr>
          <w:p w:rsidR="00FB2404" w:rsidRDefault="00F37E91">
            <w:r>
              <w:t>6</w:t>
            </w:r>
          </w:p>
        </w:tc>
        <w:tc>
          <w:tcPr>
            <w:tcW w:w="4961" w:type="dxa"/>
          </w:tcPr>
          <w:p w:rsidR="00FB2404" w:rsidRDefault="00A472CE" w:rsidP="00A94596">
            <w:r>
              <w:t xml:space="preserve">Bestemmelsen er </w:t>
            </w:r>
            <w:r w:rsidR="00A94596">
              <w:t>forenklet</w:t>
            </w:r>
            <w:r>
              <w:t>.</w:t>
            </w:r>
            <w:r w:rsidR="00444244">
              <w:t xml:space="preserve"> </w:t>
            </w:r>
            <w:r w:rsidR="00A94596">
              <w:t xml:space="preserve">Det sentrale er plikten til å legge til rette for at leverandøren skal få utført sine plikter. </w:t>
            </w:r>
          </w:p>
        </w:tc>
        <w:tc>
          <w:tcPr>
            <w:tcW w:w="5343" w:type="dxa"/>
          </w:tcPr>
          <w:p w:rsidR="00FB2404" w:rsidRDefault="00FB2404" w:rsidP="00CA58EC"/>
        </w:tc>
      </w:tr>
      <w:tr w:rsidR="00A94596" w:rsidTr="00701EB6">
        <w:tc>
          <w:tcPr>
            <w:tcW w:w="2376" w:type="dxa"/>
          </w:tcPr>
          <w:p w:rsidR="00A94596" w:rsidRDefault="00A94596" w:rsidP="00C00892">
            <w:r>
              <w:t>Skriftlighet</w:t>
            </w:r>
          </w:p>
        </w:tc>
        <w:tc>
          <w:tcPr>
            <w:tcW w:w="1418" w:type="dxa"/>
          </w:tcPr>
          <w:p w:rsidR="00A94596" w:rsidRDefault="00A94596">
            <w:r>
              <w:t>7.2</w:t>
            </w:r>
          </w:p>
        </w:tc>
        <w:tc>
          <w:tcPr>
            <w:tcW w:w="4961" w:type="dxa"/>
          </w:tcPr>
          <w:p w:rsidR="00A94596" w:rsidRDefault="00A94596" w:rsidP="00A94596">
            <w:r>
              <w:t>Det er presisert at a</w:t>
            </w:r>
            <w:r w:rsidRPr="009B1D79">
              <w:t>lle varsler, krav eller andre meddelelser knyttet til denne avtalen skal gis skriftlig</w:t>
            </w:r>
            <w:r>
              <w:t xml:space="preserve"> til den postadressen eller elektroniske adressen som er oppgitt på avtalens forside med mindre partene har avtalt noe annet i bilag 6 for den aktuelle type henvendelse.</w:t>
            </w:r>
          </w:p>
        </w:tc>
        <w:tc>
          <w:tcPr>
            <w:tcW w:w="5343" w:type="dxa"/>
          </w:tcPr>
          <w:p w:rsidR="00A94596" w:rsidRDefault="00A94596" w:rsidP="00A94596">
            <w:r>
              <w:t>Bestemmelsen legger til rette for, og minner om, at partene kan avtale en hensiktsmessig metode for bruk av elektronisk meldingsformidling (e-post eller elektronisk samhandlingsløsning).</w:t>
            </w:r>
          </w:p>
        </w:tc>
      </w:tr>
      <w:tr w:rsidR="00D310DC" w:rsidTr="00701EB6">
        <w:tc>
          <w:tcPr>
            <w:tcW w:w="2376" w:type="dxa"/>
          </w:tcPr>
          <w:p w:rsidR="00D310DC" w:rsidRDefault="00D310DC" w:rsidP="00C00892">
            <w:r>
              <w:t>Fakturering av løpende vederlag</w:t>
            </w:r>
          </w:p>
        </w:tc>
        <w:tc>
          <w:tcPr>
            <w:tcW w:w="1418" w:type="dxa"/>
          </w:tcPr>
          <w:p w:rsidR="00D310DC" w:rsidRDefault="00D310DC">
            <w:r>
              <w:t>8.2</w:t>
            </w:r>
          </w:p>
        </w:tc>
        <w:tc>
          <w:tcPr>
            <w:tcW w:w="4961" w:type="dxa"/>
          </w:tcPr>
          <w:p w:rsidR="00D310DC" w:rsidRDefault="00D310DC" w:rsidP="00D310DC">
            <w:r>
              <w:t>Det er presisert at løpende vederlag forfaller etter faktura per 30 (tretti) kalenderdager, første gang ikke tidligere enn 30 (tretti) kalenderdager etter at vedlikeholdsavtalen har trådt i kraft.</w:t>
            </w:r>
          </w:p>
        </w:tc>
        <w:tc>
          <w:tcPr>
            <w:tcW w:w="5343" w:type="dxa"/>
          </w:tcPr>
          <w:p w:rsidR="00D310DC" w:rsidRDefault="00D310DC" w:rsidP="00CA58EC"/>
        </w:tc>
      </w:tr>
      <w:tr w:rsidR="00FB2404" w:rsidTr="00701EB6">
        <w:tc>
          <w:tcPr>
            <w:tcW w:w="2376" w:type="dxa"/>
          </w:tcPr>
          <w:p w:rsidR="00FB2404" w:rsidRDefault="00F37E91" w:rsidP="00C00892">
            <w:r>
              <w:t>Prisendringer</w:t>
            </w:r>
          </w:p>
        </w:tc>
        <w:tc>
          <w:tcPr>
            <w:tcW w:w="1418" w:type="dxa"/>
          </w:tcPr>
          <w:p w:rsidR="00FB2404" w:rsidRDefault="00F37E91">
            <w:r>
              <w:t>8.5</w:t>
            </w:r>
          </w:p>
        </w:tc>
        <w:tc>
          <w:tcPr>
            <w:tcW w:w="4961" w:type="dxa"/>
          </w:tcPr>
          <w:p w:rsidR="00FB2404" w:rsidRDefault="00F37E91" w:rsidP="00F37E91">
            <w:r>
              <w:t>Også det faste vedlikeholdsvederlaget (ikke bare timepriser) kan indeksreguleres årlig i henhold til konsumprisindeksen. Bestemmelsen om justering som følge av endringer i valutakurser er fjernet.</w:t>
            </w:r>
          </w:p>
        </w:tc>
        <w:tc>
          <w:tcPr>
            <w:tcW w:w="5343" w:type="dxa"/>
          </w:tcPr>
          <w:p w:rsidR="00FB2404" w:rsidRDefault="0025075E" w:rsidP="00CA58EC">
            <w:r>
              <w:t>Kunden bør vurdere om det i den enkelte avtale skal åpnes for bruk av annen indeks enn konsumprisindeksen når det gjelder timepriser.</w:t>
            </w:r>
          </w:p>
        </w:tc>
      </w:tr>
      <w:tr w:rsidR="00FB2404" w:rsidTr="00701EB6">
        <w:tc>
          <w:tcPr>
            <w:tcW w:w="2376" w:type="dxa"/>
          </w:tcPr>
          <w:p w:rsidR="00FB2404" w:rsidRDefault="005053FE" w:rsidP="00C00892">
            <w:r>
              <w:t>Eksterne rettslige krav</w:t>
            </w:r>
          </w:p>
        </w:tc>
        <w:tc>
          <w:tcPr>
            <w:tcW w:w="1418" w:type="dxa"/>
          </w:tcPr>
          <w:p w:rsidR="00FB2404" w:rsidRDefault="005053FE">
            <w:r>
              <w:t>9.1</w:t>
            </w:r>
          </w:p>
        </w:tc>
        <w:tc>
          <w:tcPr>
            <w:tcW w:w="4961" w:type="dxa"/>
          </w:tcPr>
          <w:p w:rsidR="00FB2404" w:rsidRDefault="005053FE" w:rsidP="0025075E">
            <w:r>
              <w:t>Bestemmelsen er forenklet bl.a. ved at eksemple</w:t>
            </w:r>
            <w:r w:rsidR="0025075E">
              <w:t>ne</w:t>
            </w:r>
            <w:r>
              <w:t xml:space="preserve"> på </w:t>
            </w:r>
            <w:r w:rsidR="0025075E">
              <w:t xml:space="preserve">det som kunne være </w:t>
            </w:r>
            <w:r>
              <w:t>relevant regelverk er fjernet. Det er presisert at det er kundens ansvar å angi hvilke rettslige krav som er relevante for gjennomføring av avtalen.</w:t>
            </w:r>
          </w:p>
        </w:tc>
        <w:tc>
          <w:tcPr>
            <w:tcW w:w="5343" w:type="dxa"/>
          </w:tcPr>
          <w:p w:rsidR="00FB2404" w:rsidRDefault="00FB2404" w:rsidP="00540AB5"/>
        </w:tc>
      </w:tr>
      <w:tr w:rsidR="00CF2307" w:rsidTr="00AD6C7B">
        <w:tc>
          <w:tcPr>
            <w:tcW w:w="2376" w:type="dxa"/>
          </w:tcPr>
          <w:p w:rsidR="00CF2307" w:rsidRDefault="00CF2307" w:rsidP="00AD6C7B">
            <w:r>
              <w:t>Informasjonssikkerhet</w:t>
            </w:r>
          </w:p>
        </w:tc>
        <w:tc>
          <w:tcPr>
            <w:tcW w:w="1418" w:type="dxa"/>
          </w:tcPr>
          <w:p w:rsidR="00CF2307" w:rsidRDefault="00CF2307" w:rsidP="00AD6C7B">
            <w:r>
              <w:t>9.2</w:t>
            </w:r>
          </w:p>
        </w:tc>
        <w:tc>
          <w:tcPr>
            <w:tcW w:w="4961" w:type="dxa"/>
          </w:tcPr>
          <w:p w:rsidR="00CF2307" w:rsidRDefault="00CF2307" w:rsidP="0025075E">
            <w:r>
              <w:t xml:space="preserve">Det er innarbeidet </w:t>
            </w:r>
            <w:r w:rsidR="0025075E">
              <w:t xml:space="preserve">et generelt </w:t>
            </w:r>
            <w:r>
              <w:t>overordne</w:t>
            </w:r>
            <w:r w:rsidR="0025075E">
              <w:t>t</w:t>
            </w:r>
            <w:r>
              <w:t xml:space="preserve"> krav til forholdsmessig tiltak for å ivareta informasjonssikkerhet</w:t>
            </w:r>
            <w:r w:rsidR="00BF1B73">
              <w:t xml:space="preserve"> </w:t>
            </w:r>
            <w:r w:rsidR="0025075E">
              <w:t>i forbindelse med gjennomføring av leveransen</w:t>
            </w:r>
            <w:r>
              <w:t>.</w:t>
            </w:r>
          </w:p>
        </w:tc>
        <w:tc>
          <w:tcPr>
            <w:tcW w:w="5343" w:type="dxa"/>
          </w:tcPr>
          <w:p w:rsidR="00CF2307" w:rsidRDefault="00CF2307" w:rsidP="00AD6C7B"/>
        </w:tc>
      </w:tr>
      <w:tr w:rsidR="00FB2404" w:rsidTr="00701EB6">
        <w:tc>
          <w:tcPr>
            <w:tcW w:w="2376" w:type="dxa"/>
          </w:tcPr>
          <w:p w:rsidR="00FB2404" w:rsidRDefault="00CF2307">
            <w:r>
              <w:t>Personopplysninger</w:t>
            </w:r>
          </w:p>
        </w:tc>
        <w:tc>
          <w:tcPr>
            <w:tcW w:w="1418" w:type="dxa"/>
          </w:tcPr>
          <w:p w:rsidR="00FB2404" w:rsidRDefault="00CF2307" w:rsidP="00CF2307">
            <w:r>
              <w:t>9.3</w:t>
            </w:r>
          </w:p>
        </w:tc>
        <w:tc>
          <w:tcPr>
            <w:tcW w:w="4961" w:type="dxa"/>
          </w:tcPr>
          <w:p w:rsidR="00FB2404" w:rsidRDefault="00CF2307" w:rsidP="00CF2307">
            <w:r>
              <w:t>Det er innarbeidet en egen bestemmelse om krav til leverandørens behandling av personopplysninger (som databehandler) for de tilfellene der det er relevant.</w:t>
            </w:r>
            <w:r w:rsidR="00721CFD">
              <w:t xml:space="preserve"> Det fremgår bl.a. at leverandøren må ivareta krav til informasjonssikkerhet i henhold til personopplysningslovens § 13.</w:t>
            </w:r>
            <w:r w:rsidR="00A22238">
              <w:t xml:space="preserve"> Eventuelle underleverandører må godkjennes av kunden. Personopplysninger kan ikke overføres til land utenfor EØS-området (tredjeland) uten kundens skriftlige forhåndssamtykke.</w:t>
            </w:r>
          </w:p>
        </w:tc>
        <w:tc>
          <w:tcPr>
            <w:tcW w:w="5343" w:type="dxa"/>
          </w:tcPr>
          <w:p w:rsidR="00FB2404" w:rsidRDefault="00CF2307" w:rsidP="00AE28B0">
            <w:pPr>
              <w:pStyle w:val="Listeavsnitt"/>
              <w:numPr>
                <w:ilvl w:val="0"/>
                <w:numId w:val="6"/>
              </w:numPr>
              <w:ind w:left="357" w:hanging="357"/>
            </w:pPr>
            <w:r>
              <w:t xml:space="preserve">Bestemmelsen tjener som nødvendig ramme for </w:t>
            </w:r>
            <w:r w:rsidR="000E6F5D">
              <w:t xml:space="preserve">innholdet i </w:t>
            </w:r>
            <w:r>
              <w:t xml:space="preserve">en databehandleravtale mellom partene. Det må fremgå av bilag 1 og 2 hvordan behandling av personopplysninger skal skje (hvis </w:t>
            </w:r>
            <w:r w:rsidR="002649EA">
              <w:t xml:space="preserve">behandling av personopplysninger </w:t>
            </w:r>
            <w:r>
              <w:t>er relevant).</w:t>
            </w:r>
            <w:r w:rsidR="00A22238">
              <w:t xml:space="preserve"> </w:t>
            </w:r>
          </w:p>
          <w:p w:rsidR="00A22238" w:rsidRDefault="00A22238" w:rsidP="00AE28B0">
            <w:pPr>
              <w:pStyle w:val="Listeavsnitt"/>
              <w:numPr>
                <w:ilvl w:val="0"/>
                <w:numId w:val="6"/>
              </w:numPr>
              <w:ind w:left="357" w:hanging="357"/>
            </w:pPr>
            <w:r>
              <w:t>Kravet til skriftlig samtykke før eventuell overføring til tredjeland skal sikre at kunden kan ivareta sin plikt til å sørge for tilstrekkelig rettslig grunnlag f</w:t>
            </w:r>
            <w:r w:rsidR="002649EA">
              <w:t>ø</w:t>
            </w:r>
            <w:r>
              <w:t>r overføring finner sted</w:t>
            </w:r>
            <w:r w:rsidR="00B3269B">
              <w:t>, jf. personopplysningsloven §§ </w:t>
            </w:r>
            <w:r w:rsidR="002649EA">
              <w:t>29-30</w:t>
            </w:r>
            <w:r>
              <w:t>.</w:t>
            </w:r>
          </w:p>
        </w:tc>
      </w:tr>
      <w:tr w:rsidR="00FB2404" w:rsidTr="00701EB6">
        <w:tc>
          <w:tcPr>
            <w:tcW w:w="2376" w:type="dxa"/>
          </w:tcPr>
          <w:p w:rsidR="00FB2404" w:rsidRDefault="00D92DA2" w:rsidP="00C00892">
            <w:r>
              <w:t>Disposisjonsrett</w:t>
            </w:r>
          </w:p>
        </w:tc>
        <w:tc>
          <w:tcPr>
            <w:tcW w:w="1418" w:type="dxa"/>
          </w:tcPr>
          <w:p w:rsidR="00FB2404" w:rsidRDefault="00D92DA2">
            <w:r>
              <w:t>10.2</w:t>
            </w:r>
          </w:p>
        </w:tc>
        <w:tc>
          <w:tcPr>
            <w:tcW w:w="4961" w:type="dxa"/>
          </w:tcPr>
          <w:p w:rsidR="00FB2404" w:rsidRDefault="00D92DA2" w:rsidP="00540AB5">
            <w:r>
              <w:t>Bestemmelsene om disposisjonsrett er forenklet.</w:t>
            </w:r>
          </w:p>
        </w:tc>
        <w:tc>
          <w:tcPr>
            <w:tcW w:w="5343" w:type="dxa"/>
          </w:tcPr>
          <w:p w:rsidR="00FB2404" w:rsidRDefault="00AE28B0" w:rsidP="00AE28B0">
            <w:r>
              <w:t xml:space="preserve">Formålet med bestemmelsen er å sikre </w:t>
            </w:r>
            <w:r w:rsidR="00D92DA2">
              <w:t>at kundens rettigheter ikke forringes av utført vedlikehold.</w:t>
            </w:r>
          </w:p>
        </w:tc>
      </w:tr>
      <w:tr w:rsidR="00D92DA2" w:rsidTr="00701EB6">
        <w:tc>
          <w:tcPr>
            <w:tcW w:w="2376" w:type="dxa"/>
          </w:tcPr>
          <w:p w:rsidR="00D92DA2" w:rsidRDefault="00D92DA2" w:rsidP="00C00892">
            <w:r>
              <w:t>Disposisjonsrett – utvide</w:t>
            </w:r>
          </w:p>
        </w:tc>
        <w:tc>
          <w:tcPr>
            <w:tcW w:w="1418" w:type="dxa"/>
          </w:tcPr>
          <w:p w:rsidR="00D92DA2" w:rsidRDefault="00D92DA2">
            <w:r>
              <w:t>10.3</w:t>
            </w:r>
          </w:p>
        </w:tc>
        <w:tc>
          <w:tcPr>
            <w:tcW w:w="4961" w:type="dxa"/>
          </w:tcPr>
          <w:p w:rsidR="00D92DA2" w:rsidRDefault="00D92DA2" w:rsidP="00D92DA2">
            <w:r>
              <w:t>Kunden får utvidet disposisjonsrett til programvare som utvikles for kunden i henhold til vedlikeholdsavtalen, se tilsvarende bestemmelse i SSA-T.</w:t>
            </w:r>
            <w:r w:rsidR="00444244">
              <w:t xml:space="preserve"> </w:t>
            </w:r>
            <w:r w:rsidR="00425A5B">
              <w:t>Kildekode med tilhørende spesifikasjoner og dokumentasjon av utvikling og tilpasningene skal overleveres til Kunden innen 10 (ti) virkedager etter at endringen eller programvareutvidelsen er godkjent av Kunden, med mindre annet er avtalt i det enkelte tilfellet</w:t>
            </w:r>
          </w:p>
        </w:tc>
        <w:tc>
          <w:tcPr>
            <w:tcW w:w="5343" w:type="dxa"/>
          </w:tcPr>
          <w:p w:rsidR="00D92DA2" w:rsidRDefault="00D92DA2" w:rsidP="00425A5B">
            <w:r>
              <w:t>Bestemmelsen er særlig aktuell etter at avtalen fikk en ny bestemmelse om videreutvikling, se punkt 2.2.8 ovenfor</w:t>
            </w:r>
            <w:r w:rsidR="00425A5B">
              <w:t xml:space="preserve"> og skal bl.a. sikre at kunden har tilstrekkelige rettigheter til at det senere er mulig å overlate ansvaret for vedlikeholdet til en ny leverandør</w:t>
            </w:r>
            <w:r>
              <w:t>.</w:t>
            </w:r>
          </w:p>
        </w:tc>
      </w:tr>
      <w:tr w:rsidR="004C31FB" w:rsidTr="00701EB6">
        <w:tc>
          <w:tcPr>
            <w:tcW w:w="2376" w:type="dxa"/>
          </w:tcPr>
          <w:p w:rsidR="004C31FB" w:rsidRDefault="004C31FB" w:rsidP="0087674D">
            <w:r>
              <w:t>Tidligere bestemmelse om tilleggsfrist</w:t>
            </w:r>
          </w:p>
        </w:tc>
        <w:tc>
          <w:tcPr>
            <w:tcW w:w="1418" w:type="dxa"/>
          </w:tcPr>
          <w:p w:rsidR="004C31FB" w:rsidRDefault="004C31FB">
            <w:r>
              <w:t>Tidligere 11.3</w:t>
            </w:r>
          </w:p>
        </w:tc>
        <w:tc>
          <w:tcPr>
            <w:tcW w:w="4961" w:type="dxa"/>
          </w:tcPr>
          <w:p w:rsidR="004C31FB" w:rsidRDefault="004C31FB" w:rsidP="00FF0786">
            <w:r>
              <w:t>Bestemmelsen om tilleggsfrist i tidligere SSA-V punkt 11.3 er fjernet.</w:t>
            </w:r>
          </w:p>
        </w:tc>
        <w:tc>
          <w:tcPr>
            <w:tcW w:w="5343" w:type="dxa"/>
          </w:tcPr>
          <w:p w:rsidR="004C31FB" w:rsidRDefault="00FF0786" w:rsidP="00B3269B">
            <w:r>
              <w:t xml:space="preserve">Dette henger sammen med at man også har fjernet den tidligere bestemmelsen om dagbot for forsinket oppstart av vedlikeholdstjenesten. </w:t>
            </w:r>
            <w:r w:rsidR="004C31FB">
              <w:t>Hvis etablering av tjenesten er av en slik art at det skal gjennomføres som et etableringsprosjekt med sanksjonering av fremdrift</w:t>
            </w:r>
            <w:r w:rsidR="00B3269B">
              <w:t>,</w:t>
            </w:r>
            <w:r w:rsidR="004C31FB">
              <w:t xml:space="preserve"> kan bestemmelsen om tilleggsfrist likevel være aktuell.</w:t>
            </w:r>
          </w:p>
        </w:tc>
      </w:tr>
      <w:tr w:rsidR="003744C8" w:rsidTr="00701EB6">
        <w:tc>
          <w:tcPr>
            <w:tcW w:w="2376" w:type="dxa"/>
          </w:tcPr>
          <w:p w:rsidR="003744C8" w:rsidRDefault="0087674D" w:rsidP="0087674D">
            <w:r>
              <w:t>Mislighold og s</w:t>
            </w:r>
            <w:r w:rsidR="003744C8">
              <w:t>anksjoner – standardiserte kompensasjoner og timebot</w:t>
            </w:r>
            <w:r>
              <w:t xml:space="preserve"> som følge av leverandørens brudd på tjenestenivå</w:t>
            </w:r>
          </w:p>
        </w:tc>
        <w:tc>
          <w:tcPr>
            <w:tcW w:w="1418" w:type="dxa"/>
          </w:tcPr>
          <w:p w:rsidR="003744C8" w:rsidRDefault="003744C8">
            <w:r>
              <w:t>11.4.3</w:t>
            </w:r>
          </w:p>
        </w:tc>
        <w:tc>
          <w:tcPr>
            <w:tcW w:w="4961" w:type="dxa"/>
          </w:tcPr>
          <w:p w:rsidR="003744C8" w:rsidRDefault="003744C8" w:rsidP="003744C8">
            <w:r>
              <w:t xml:space="preserve">Bestemmelsene om kundens rett til kompensasjon ved brudd på avtalt tjenestenivå er endret. Hovedprinsippet er nå at partene avtaler passende standardiserte kompensasjoner i den enkelte avtale. Hvis det </w:t>
            </w:r>
            <w:r w:rsidRPr="003744C8">
              <w:rPr>
                <w:i/>
              </w:rPr>
              <w:t>ikke</w:t>
            </w:r>
            <w:r>
              <w:t xml:space="preserve"> er avtalt slike kompensasjoner (og bare da) kan kunden for manglende overholdelse av frister for retting av A- og B-feil kreve timebot. Det er satt maksimalbegrensninger for timeboten (max</w:t>
            </w:r>
            <w:r w:rsidR="00322924">
              <w:t>.</w:t>
            </w:r>
            <w:r>
              <w:t xml:space="preserve"> 5</w:t>
            </w:r>
            <w:r w:rsidR="00322924">
              <w:t xml:space="preserve"> </w:t>
            </w:r>
            <w:r>
              <w:t>% av årlig vederlag per misligholdstilfelle og max</w:t>
            </w:r>
            <w:r w:rsidR="00322924">
              <w:t>.</w:t>
            </w:r>
            <w:r>
              <w:t xml:space="preserve"> 15</w:t>
            </w:r>
            <w:r w:rsidR="00322924">
              <w:t xml:space="preserve"> </w:t>
            </w:r>
            <w:r>
              <w:t xml:space="preserve">% av årlig vederlag per år). </w:t>
            </w:r>
          </w:p>
        </w:tc>
        <w:tc>
          <w:tcPr>
            <w:tcW w:w="5343" w:type="dxa"/>
          </w:tcPr>
          <w:p w:rsidR="003744C8" w:rsidRDefault="003744C8" w:rsidP="003744C8">
            <w:r>
              <w:t>Den tidligere bestemmelsen om standardisert prisavslag (som var uavhengig av erstatning) er endret til en regel om standardisert kompensasjon (en form for standardisert erstatning). Hvis det ikke er avtalt slike, gjelder fortsatt timebot som en slags reserveregel for de mest alvorlige brudd på tjenestenivå (manglende overholdelse av frister for retting av A- og B-feil). Partene kan avtale annen løpetid og andre satser for timeboten enn det som er standard.</w:t>
            </w:r>
            <w:r w:rsidR="00B3269B">
              <w:t xml:space="preserve"> Eventuell påløpt timebot og standardisert kompensasjon kommer til fradrag i eventuell erstatning for samme forsinkelse/mislighold, se punkt 11.4.5 annet avsnitt.</w:t>
            </w:r>
          </w:p>
        </w:tc>
      </w:tr>
      <w:tr w:rsidR="00CE7DD6" w:rsidTr="00537C56">
        <w:tc>
          <w:tcPr>
            <w:tcW w:w="2376" w:type="dxa"/>
          </w:tcPr>
          <w:p w:rsidR="00CE7DD6" w:rsidRDefault="00CE7DD6" w:rsidP="00537C56">
            <w:r>
              <w:t>Erstatning</w:t>
            </w:r>
          </w:p>
        </w:tc>
        <w:tc>
          <w:tcPr>
            <w:tcW w:w="1418" w:type="dxa"/>
          </w:tcPr>
          <w:p w:rsidR="00CE7DD6" w:rsidRDefault="00CE7DD6" w:rsidP="00CE7DD6">
            <w:r>
              <w:t>11.4.6</w:t>
            </w:r>
          </w:p>
        </w:tc>
        <w:tc>
          <w:tcPr>
            <w:tcW w:w="4961" w:type="dxa"/>
          </w:tcPr>
          <w:p w:rsidR="00CE7DD6" w:rsidRDefault="00CE7DD6" w:rsidP="00CE7DD6">
            <w:r>
              <w:t xml:space="preserve">Bestemmelsene om hva som regnes som direkte og indirekte tap er endret og presisert. </w:t>
            </w:r>
            <w:r w:rsidRPr="00354C39">
              <w:t xml:space="preserve">Indirekte tap omfatter, men er ikke begrenset til, tapt fortjeneste av enhver art, tapte besparelser, tap av data og krav fra tredjeparter med unntak av idømt erstatningsansvar </w:t>
            </w:r>
            <w:r>
              <w:t>for rettsmangler. Det er presisert i punkt 11.5.5 at merkostnader kunden får ved dekningskjøp regnes som direkte tap.</w:t>
            </w:r>
          </w:p>
        </w:tc>
        <w:tc>
          <w:tcPr>
            <w:tcW w:w="5343" w:type="dxa"/>
          </w:tcPr>
          <w:p w:rsidR="00CE7DD6" w:rsidRDefault="00CE7DD6" w:rsidP="00537C56">
            <w:r>
              <w:t>SSA-T ble i 2013 endret slik at indirekte tap ble definert med referanse til kjøpsloven. Denne henvisningen var imidlertid lite egnet da de fleste avtalene har et betydelig tjenesteelement, i liten grad benyttes for kjøp av noe som skal selges videre samt at programvare har egenskaper som skiller seg fra alminnelig løsøre. Nåværende avgrensning ligger nærmere det som antas å være standard i markedet.</w:t>
            </w:r>
          </w:p>
        </w:tc>
      </w:tr>
      <w:tr w:rsidR="00FF0786" w:rsidTr="00AD6C7B">
        <w:tc>
          <w:tcPr>
            <w:tcW w:w="2376" w:type="dxa"/>
          </w:tcPr>
          <w:p w:rsidR="00FF0786" w:rsidRDefault="00FF0786" w:rsidP="00AD6C7B">
            <w:r>
              <w:t>Tidligere bestemmelse om dagbot</w:t>
            </w:r>
          </w:p>
        </w:tc>
        <w:tc>
          <w:tcPr>
            <w:tcW w:w="1418" w:type="dxa"/>
          </w:tcPr>
          <w:p w:rsidR="00FF0786" w:rsidRDefault="00FF0786" w:rsidP="00AD6C7B">
            <w:r>
              <w:t>11.5.3</w:t>
            </w:r>
          </w:p>
        </w:tc>
        <w:tc>
          <w:tcPr>
            <w:tcW w:w="4961" w:type="dxa"/>
          </w:tcPr>
          <w:p w:rsidR="00FF0786" w:rsidRDefault="00FF0786" w:rsidP="00FF0786">
            <w:r>
              <w:t>Bestemmelsen i tidligere SSA-V om dagbot for forsinket oppstart av vedlikeholdstjenesten, er fjernet.</w:t>
            </w:r>
          </w:p>
        </w:tc>
        <w:tc>
          <w:tcPr>
            <w:tcW w:w="5343" w:type="dxa"/>
          </w:tcPr>
          <w:p w:rsidR="00FF0786" w:rsidRDefault="00FF0786" w:rsidP="00FF0786"/>
        </w:tc>
      </w:tr>
      <w:tr w:rsidR="008E24BE" w:rsidTr="00AD6C7B">
        <w:tc>
          <w:tcPr>
            <w:tcW w:w="2376" w:type="dxa"/>
          </w:tcPr>
          <w:p w:rsidR="008E24BE" w:rsidRDefault="008E24BE" w:rsidP="00AD6C7B">
            <w:r>
              <w:t>Tilbakeholdsrett - leverandørens</w:t>
            </w:r>
          </w:p>
        </w:tc>
        <w:tc>
          <w:tcPr>
            <w:tcW w:w="1418" w:type="dxa"/>
          </w:tcPr>
          <w:p w:rsidR="008E24BE" w:rsidRDefault="008E24BE" w:rsidP="00FF0786">
            <w:r>
              <w:t>12.3</w:t>
            </w:r>
            <w:r w:rsidR="00FF0786">
              <w:t xml:space="preserve"> </w:t>
            </w:r>
          </w:p>
        </w:tc>
        <w:tc>
          <w:tcPr>
            <w:tcW w:w="4961" w:type="dxa"/>
          </w:tcPr>
          <w:p w:rsidR="008E24BE" w:rsidRDefault="008E24BE" w:rsidP="008D78C5">
            <w:r>
              <w:t>Bestemmelsen om leverandørens tilbakeholdsrett er noe endret slik at leverandøren nå kan holde sin ytelse tilbake hvis kunden vesentlig mislighold</w:t>
            </w:r>
            <w:r w:rsidR="00740A41">
              <w:t>er</w:t>
            </w:r>
            <w:r>
              <w:t xml:space="preserve"> avtalen.</w:t>
            </w:r>
          </w:p>
        </w:tc>
        <w:tc>
          <w:tcPr>
            <w:tcW w:w="5343" w:type="dxa"/>
          </w:tcPr>
          <w:p w:rsidR="008E24BE" w:rsidRDefault="008E24BE" w:rsidP="008D78C5">
            <w:pPr>
              <w:pStyle w:val="Listeavsnitt"/>
              <w:numPr>
                <w:ilvl w:val="0"/>
                <w:numId w:val="7"/>
              </w:numPr>
              <w:ind w:left="357" w:hanging="357"/>
            </w:pPr>
            <w:r>
              <w:t>Se punkt 12.4 om frister for avhjelp før heving kan erklæres. Fristene må antakelig også gjelde mht</w:t>
            </w:r>
            <w:r w:rsidR="00322924">
              <w:t>.</w:t>
            </w:r>
            <w:r>
              <w:t xml:space="preserve"> tilbakehold av ytelser.</w:t>
            </w:r>
          </w:p>
          <w:p w:rsidR="008E24BE" w:rsidRDefault="008E24BE" w:rsidP="008D78C5">
            <w:pPr>
              <w:pStyle w:val="Listeavsnitt"/>
              <w:numPr>
                <w:ilvl w:val="0"/>
                <w:numId w:val="7"/>
              </w:numPr>
              <w:ind w:left="357" w:hanging="357"/>
            </w:pPr>
            <w:r>
              <w:t xml:space="preserve">I tilsvarende bestemmelse i SSA-D er det i tillegg krevet at leverandøren hever avtalen. Leverandøren kan i SSA-D likevel ikke holde tilbake driftstjenesten dersom </w:t>
            </w:r>
            <w:r w:rsidR="00322924">
              <w:t>k</w:t>
            </w:r>
            <w:r>
              <w:t>unden benytter sin rett til midlertidig forlengelse av avtalen mot forskuddsbetaling som angitt i punkt 4.5.</w:t>
            </w:r>
          </w:p>
        </w:tc>
      </w:tr>
      <w:tr w:rsidR="00FF0786" w:rsidTr="00701EB6">
        <w:tc>
          <w:tcPr>
            <w:tcW w:w="2376" w:type="dxa"/>
          </w:tcPr>
          <w:p w:rsidR="00FF0786" w:rsidRDefault="00FF0786" w:rsidP="003744C8">
            <w:r>
              <w:t>Heving</w:t>
            </w:r>
          </w:p>
        </w:tc>
        <w:tc>
          <w:tcPr>
            <w:tcW w:w="1418" w:type="dxa"/>
          </w:tcPr>
          <w:p w:rsidR="00FF0786" w:rsidRDefault="00FF0786">
            <w:r>
              <w:t>12.4</w:t>
            </w:r>
          </w:p>
        </w:tc>
        <w:tc>
          <w:tcPr>
            <w:tcW w:w="4961" w:type="dxa"/>
          </w:tcPr>
          <w:p w:rsidR="00FF0786" w:rsidRDefault="00FF0786" w:rsidP="001C40DC">
            <w:r>
              <w:t xml:space="preserve">Tidligere hadde kunden krav på 60 dagers varsel om </w:t>
            </w:r>
            <w:r w:rsidR="001C40DC">
              <w:t xml:space="preserve">betalingsmislighold og annet vesentlig </w:t>
            </w:r>
            <w:r>
              <w:t>mislighold før leverandøren kunne heve avtalen. Bestemmelsen er endret til et krav om "rimelig frist" til å bringe forholdet i orden.</w:t>
            </w:r>
          </w:p>
        </w:tc>
        <w:tc>
          <w:tcPr>
            <w:tcW w:w="5343" w:type="dxa"/>
          </w:tcPr>
          <w:p w:rsidR="00FF0786" w:rsidRDefault="00FF0786" w:rsidP="00F51E58"/>
        </w:tc>
      </w:tr>
      <w:tr w:rsidR="00F51E58" w:rsidTr="00701EB6">
        <w:tc>
          <w:tcPr>
            <w:tcW w:w="2376" w:type="dxa"/>
          </w:tcPr>
          <w:p w:rsidR="00F51E58" w:rsidRDefault="0008166F" w:rsidP="003744C8">
            <w:r>
              <w:t>Overdragelse</w:t>
            </w:r>
          </w:p>
        </w:tc>
        <w:tc>
          <w:tcPr>
            <w:tcW w:w="1418" w:type="dxa"/>
          </w:tcPr>
          <w:p w:rsidR="00F51E58" w:rsidRDefault="0008166F">
            <w:r>
              <w:t>13.2</w:t>
            </w:r>
          </w:p>
        </w:tc>
        <w:tc>
          <w:tcPr>
            <w:tcW w:w="4961" w:type="dxa"/>
          </w:tcPr>
          <w:p w:rsidR="00F51E58" w:rsidRDefault="0008166F" w:rsidP="0008166F">
            <w:r>
              <w:t>Begrensningene i leverandørens adgang til å overdra avtalen til andre (kravet om samtykke fra kunden) gjelder ikke i forbindelse med fusjon. Det er presisert at overdragelse uansett er betinget av at den nye leverandøren oppfyller kvalifikasjonskravene, at det ikke foretas vesentlige endringer i kontrakten og at det ikke representerer omgåelse av regelverket om offentlige anskaffelser.</w:t>
            </w:r>
            <w:r w:rsidR="00AD545F">
              <w:t xml:space="preserve"> Retten til vederlag etter avtalen kan imidlertid fritt overdras.</w:t>
            </w:r>
          </w:p>
        </w:tc>
        <w:tc>
          <w:tcPr>
            <w:tcW w:w="5343" w:type="dxa"/>
          </w:tcPr>
          <w:p w:rsidR="00F51E58" w:rsidRDefault="00F51E58" w:rsidP="00F51E58"/>
        </w:tc>
      </w:tr>
      <w:tr w:rsidR="00AD545F" w:rsidTr="00701EB6">
        <w:tc>
          <w:tcPr>
            <w:tcW w:w="2376" w:type="dxa"/>
          </w:tcPr>
          <w:p w:rsidR="00AD545F" w:rsidRDefault="00AD545F" w:rsidP="003744C8">
            <w:r>
              <w:t>Force Majeure</w:t>
            </w:r>
          </w:p>
        </w:tc>
        <w:tc>
          <w:tcPr>
            <w:tcW w:w="1418" w:type="dxa"/>
          </w:tcPr>
          <w:p w:rsidR="00AD545F" w:rsidRDefault="00AD545F">
            <w:r>
              <w:t>13.4</w:t>
            </w:r>
          </w:p>
        </w:tc>
        <w:tc>
          <w:tcPr>
            <w:tcW w:w="4961" w:type="dxa"/>
          </w:tcPr>
          <w:p w:rsidR="00AD545F" w:rsidRDefault="00E82C7D" w:rsidP="00E82C7D">
            <w:r>
              <w:t>H</w:t>
            </w:r>
            <w:r w:rsidR="00AD545F">
              <w:t xml:space="preserve">vis avtalen avsluttes som følge av </w:t>
            </w:r>
            <w:r w:rsidR="00AD545F" w:rsidRPr="00AD545F">
              <w:rPr>
                <w:i/>
              </w:rPr>
              <w:t>force majeure</w:t>
            </w:r>
            <w:r w:rsidR="00AD545F">
              <w:t xml:space="preserve"> (som har vart mer enn 90 dager), dekker partene sine egne kostnader knyttet til avslutningen og leverandøren får betalt for det som er levert før avtalen ble avsluttet.</w:t>
            </w:r>
            <w:r>
              <w:t xml:space="preserve"> Partene kan ikke rette andre krav mot hverandre som følge av avslutning på </w:t>
            </w:r>
            <w:r w:rsidR="00322924">
              <w:t>grunn</w:t>
            </w:r>
            <w:r>
              <w:t xml:space="preserve"> av </w:t>
            </w:r>
            <w:r w:rsidRPr="00E82C7D">
              <w:rPr>
                <w:i/>
              </w:rPr>
              <w:t>force majeure</w:t>
            </w:r>
            <w:r>
              <w:t>.</w:t>
            </w:r>
          </w:p>
        </w:tc>
        <w:tc>
          <w:tcPr>
            <w:tcW w:w="5343" w:type="dxa"/>
          </w:tcPr>
          <w:p w:rsidR="00AD545F" w:rsidRDefault="00E82C7D" w:rsidP="00E82C7D">
            <w:r>
              <w:t xml:space="preserve">Manglende oppfyllelse som følge av </w:t>
            </w:r>
            <w:r w:rsidRPr="00AD545F">
              <w:rPr>
                <w:i/>
              </w:rPr>
              <w:t>force majeure</w:t>
            </w:r>
            <w:r>
              <w:t xml:space="preserve"> er ikke mislighold. Endringen i punkt 13.4 er en refleks av dette.</w:t>
            </w:r>
          </w:p>
        </w:tc>
      </w:tr>
      <w:tr w:rsidR="00F927FA" w:rsidTr="00701EB6">
        <w:tc>
          <w:tcPr>
            <w:tcW w:w="2376" w:type="dxa"/>
          </w:tcPr>
          <w:p w:rsidR="00F927FA" w:rsidRDefault="00F927FA" w:rsidP="003744C8">
            <w:r>
              <w:t>Andre endringer</w:t>
            </w:r>
          </w:p>
        </w:tc>
        <w:tc>
          <w:tcPr>
            <w:tcW w:w="1418" w:type="dxa"/>
          </w:tcPr>
          <w:p w:rsidR="00F927FA" w:rsidRDefault="00F927FA">
            <w:r>
              <w:t>Tidligere kap. 13, 14 og 16 i SSA-V (store)</w:t>
            </w:r>
          </w:p>
        </w:tc>
        <w:tc>
          <w:tcPr>
            <w:tcW w:w="4961" w:type="dxa"/>
          </w:tcPr>
          <w:p w:rsidR="00F927FA" w:rsidRDefault="00F927FA" w:rsidP="00A47F16">
            <w:r>
              <w:t xml:space="preserve">En del bestemmelser i SSA-V (store) er fjernet eller forenklet. Dette gjelder bestemmelsene om rettsmangler (kap. 13), hevingsoppgjør (kap. 14) og uavhengig ekspert (kap. 16). Bestemmelsene om </w:t>
            </w:r>
            <w:r w:rsidR="00A47F16">
              <w:t xml:space="preserve">forhandlinger, megling, domstolsbehandling og voldgift </w:t>
            </w:r>
            <w:r>
              <w:t>er forenklet.</w:t>
            </w:r>
          </w:p>
        </w:tc>
        <w:tc>
          <w:tcPr>
            <w:tcW w:w="5343" w:type="dxa"/>
          </w:tcPr>
          <w:p w:rsidR="00F927FA" w:rsidRDefault="00F927FA" w:rsidP="00E82C7D"/>
        </w:tc>
      </w:tr>
    </w:tbl>
    <w:p w:rsidR="006B61CA" w:rsidRDefault="006B61CA"/>
    <w:p w:rsidR="00FB2404" w:rsidRDefault="00FB2404"/>
    <w:sectPr w:rsidR="00FB2404" w:rsidSect="00701EB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BCB" w:rsidRDefault="00EC0BCB" w:rsidP="00EC0BCB">
      <w:pPr>
        <w:spacing w:after="0" w:line="240" w:lineRule="auto"/>
      </w:pPr>
      <w:r>
        <w:separator/>
      </w:r>
    </w:p>
  </w:endnote>
  <w:endnote w:type="continuationSeparator" w:id="0">
    <w:p w:rsidR="00EC0BCB" w:rsidRDefault="00EC0BCB" w:rsidP="00EC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0B" w:rsidRDefault="005F250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BCB" w:rsidRPr="00CE7DD6" w:rsidRDefault="00CE7DD6" w:rsidP="00CE7DD6">
    <w:pPr>
      <w:pStyle w:val="Bunntekst"/>
      <w:ind w:right="-709"/>
      <w:jc w:val="right"/>
      <w:rPr>
        <w:caps/>
        <w:sz w:val="12"/>
      </w:rPr>
    </w:pPr>
    <w:r>
      <w:rPr>
        <w:caps/>
        <w:sz w:val="12"/>
      </w:rPr>
      <w:t xml:space="preserve">L_7121384_v1  </w:t>
    </w:r>
    <w:bookmarkStart w:id="1" w:name="bunndato"/>
    <w:r>
      <w:rPr>
        <w:caps/>
        <w:sz w:val="12"/>
      </w:rPr>
      <w:t>25.01.16</w:t>
    </w:r>
    <w:bookmarkEnd w:id="1"/>
    <w:r>
      <w:rPr>
        <w:caps/>
        <w:sz w:val="12"/>
      </w:rPr>
      <w:t xml:space="preserve">  508535-032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0B" w:rsidRDefault="005F250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BCB" w:rsidRDefault="00EC0BCB" w:rsidP="00EC0BCB">
      <w:pPr>
        <w:spacing w:after="0" w:line="240" w:lineRule="auto"/>
      </w:pPr>
      <w:r>
        <w:separator/>
      </w:r>
    </w:p>
  </w:footnote>
  <w:footnote w:type="continuationSeparator" w:id="0">
    <w:p w:rsidR="00EC0BCB" w:rsidRDefault="00EC0BCB" w:rsidP="00EC0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0B" w:rsidRDefault="005F250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0B" w:rsidRDefault="005F250B">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0B" w:rsidRDefault="005F250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DAA"/>
    <w:multiLevelType w:val="hybridMultilevel"/>
    <w:tmpl w:val="F20668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3C6EF6"/>
    <w:multiLevelType w:val="hybridMultilevel"/>
    <w:tmpl w:val="191836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A714B05"/>
    <w:multiLevelType w:val="hybridMultilevel"/>
    <w:tmpl w:val="891674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E8230DF"/>
    <w:multiLevelType w:val="hybridMultilevel"/>
    <w:tmpl w:val="3F16BB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FB95673"/>
    <w:multiLevelType w:val="hybridMultilevel"/>
    <w:tmpl w:val="8654AC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4FD69BF"/>
    <w:multiLevelType w:val="hybridMultilevel"/>
    <w:tmpl w:val="1DFE23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AFD18E5"/>
    <w:multiLevelType w:val="hybridMultilevel"/>
    <w:tmpl w:val="76808F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A44BEB"/>
    <w:multiLevelType w:val="hybridMultilevel"/>
    <w:tmpl w:val="990E59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B6"/>
    <w:rsid w:val="00003AAE"/>
    <w:rsid w:val="00005E21"/>
    <w:rsid w:val="00014674"/>
    <w:rsid w:val="00014EF6"/>
    <w:rsid w:val="00033FF1"/>
    <w:rsid w:val="00061125"/>
    <w:rsid w:val="000620F1"/>
    <w:rsid w:val="000748B6"/>
    <w:rsid w:val="00075FD6"/>
    <w:rsid w:val="0008166F"/>
    <w:rsid w:val="00083282"/>
    <w:rsid w:val="000B059D"/>
    <w:rsid w:val="000C37BA"/>
    <w:rsid w:val="000C4C2C"/>
    <w:rsid w:val="000D2F6E"/>
    <w:rsid w:val="000E0C02"/>
    <w:rsid w:val="000E6F5D"/>
    <w:rsid w:val="000F1B8E"/>
    <w:rsid w:val="00132276"/>
    <w:rsid w:val="0015393A"/>
    <w:rsid w:val="00154835"/>
    <w:rsid w:val="00172B45"/>
    <w:rsid w:val="001778D7"/>
    <w:rsid w:val="00182FD4"/>
    <w:rsid w:val="00183CD7"/>
    <w:rsid w:val="001961EB"/>
    <w:rsid w:val="001976BB"/>
    <w:rsid w:val="001A7B93"/>
    <w:rsid w:val="001C1B1E"/>
    <w:rsid w:val="001C40DC"/>
    <w:rsid w:val="001C44FD"/>
    <w:rsid w:val="001E0933"/>
    <w:rsid w:val="001E22BD"/>
    <w:rsid w:val="00204683"/>
    <w:rsid w:val="00221AC3"/>
    <w:rsid w:val="00227262"/>
    <w:rsid w:val="002303D8"/>
    <w:rsid w:val="00245045"/>
    <w:rsid w:val="00245201"/>
    <w:rsid w:val="00247A31"/>
    <w:rsid w:val="0025075E"/>
    <w:rsid w:val="00252821"/>
    <w:rsid w:val="002649EA"/>
    <w:rsid w:val="0026697A"/>
    <w:rsid w:val="002729BF"/>
    <w:rsid w:val="00282263"/>
    <w:rsid w:val="00287F17"/>
    <w:rsid w:val="002A0CB2"/>
    <w:rsid w:val="002A165F"/>
    <w:rsid w:val="002C147B"/>
    <w:rsid w:val="002D03B0"/>
    <w:rsid w:val="002E0759"/>
    <w:rsid w:val="002F6683"/>
    <w:rsid w:val="00314770"/>
    <w:rsid w:val="003211A3"/>
    <w:rsid w:val="0032253C"/>
    <w:rsid w:val="00322924"/>
    <w:rsid w:val="00335008"/>
    <w:rsid w:val="00336A76"/>
    <w:rsid w:val="00350D7A"/>
    <w:rsid w:val="003564AD"/>
    <w:rsid w:val="003643D2"/>
    <w:rsid w:val="003744C8"/>
    <w:rsid w:val="003818EA"/>
    <w:rsid w:val="003856F8"/>
    <w:rsid w:val="003858A8"/>
    <w:rsid w:val="003A3591"/>
    <w:rsid w:val="003C15CD"/>
    <w:rsid w:val="003D7773"/>
    <w:rsid w:val="003E01A9"/>
    <w:rsid w:val="003F30FE"/>
    <w:rsid w:val="003F73B5"/>
    <w:rsid w:val="00416CDB"/>
    <w:rsid w:val="00417327"/>
    <w:rsid w:val="00421935"/>
    <w:rsid w:val="00425A5B"/>
    <w:rsid w:val="00433CAA"/>
    <w:rsid w:val="004439E7"/>
    <w:rsid w:val="00444244"/>
    <w:rsid w:val="0045267D"/>
    <w:rsid w:val="00456A3F"/>
    <w:rsid w:val="00475057"/>
    <w:rsid w:val="00491059"/>
    <w:rsid w:val="00497BB0"/>
    <w:rsid w:val="004C31FB"/>
    <w:rsid w:val="004D4174"/>
    <w:rsid w:val="004D5C5B"/>
    <w:rsid w:val="005039F8"/>
    <w:rsid w:val="005053FE"/>
    <w:rsid w:val="0054081E"/>
    <w:rsid w:val="00540AB5"/>
    <w:rsid w:val="0055286B"/>
    <w:rsid w:val="0055716F"/>
    <w:rsid w:val="00563EC2"/>
    <w:rsid w:val="0057420A"/>
    <w:rsid w:val="00584D54"/>
    <w:rsid w:val="005B3419"/>
    <w:rsid w:val="005B52EC"/>
    <w:rsid w:val="005C4EAF"/>
    <w:rsid w:val="005D6959"/>
    <w:rsid w:val="005E51FB"/>
    <w:rsid w:val="005F250B"/>
    <w:rsid w:val="005F7C8E"/>
    <w:rsid w:val="00600DD7"/>
    <w:rsid w:val="0061256B"/>
    <w:rsid w:val="0062128C"/>
    <w:rsid w:val="00623D0F"/>
    <w:rsid w:val="006247AD"/>
    <w:rsid w:val="00632F54"/>
    <w:rsid w:val="006421D4"/>
    <w:rsid w:val="006462B1"/>
    <w:rsid w:val="0066016F"/>
    <w:rsid w:val="006774A8"/>
    <w:rsid w:val="00691404"/>
    <w:rsid w:val="00697006"/>
    <w:rsid w:val="006A12F0"/>
    <w:rsid w:val="006B393F"/>
    <w:rsid w:val="006B4E09"/>
    <w:rsid w:val="006B61CA"/>
    <w:rsid w:val="006C1FF9"/>
    <w:rsid w:val="006E2F3B"/>
    <w:rsid w:val="006E35C1"/>
    <w:rsid w:val="006F03F3"/>
    <w:rsid w:val="006F22EB"/>
    <w:rsid w:val="00701EB6"/>
    <w:rsid w:val="007071BE"/>
    <w:rsid w:val="0071067F"/>
    <w:rsid w:val="00717E11"/>
    <w:rsid w:val="00721CFD"/>
    <w:rsid w:val="00725F40"/>
    <w:rsid w:val="0073487E"/>
    <w:rsid w:val="00740A41"/>
    <w:rsid w:val="00742F94"/>
    <w:rsid w:val="00750D81"/>
    <w:rsid w:val="00770CA4"/>
    <w:rsid w:val="00780B58"/>
    <w:rsid w:val="00782D47"/>
    <w:rsid w:val="007A38D3"/>
    <w:rsid w:val="007C045E"/>
    <w:rsid w:val="007C6B15"/>
    <w:rsid w:val="007D19AF"/>
    <w:rsid w:val="007D3666"/>
    <w:rsid w:val="00801121"/>
    <w:rsid w:val="008037E9"/>
    <w:rsid w:val="00810A13"/>
    <w:rsid w:val="008254F7"/>
    <w:rsid w:val="008450E0"/>
    <w:rsid w:val="0086340E"/>
    <w:rsid w:val="0087674D"/>
    <w:rsid w:val="00883C40"/>
    <w:rsid w:val="00895ED0"/>
    <w:rsid w:val="008D78C5"/>
    <w:rsid w:val="008E145D"/>
    <w:rsid w:val="008E1A52"/>
    <w:rsid w:val="008E24BE"/>
    <w:rsid w:val="008E256B"/>
    <w:rsid w:val="008E5E6A"/>
    <w:rsid w:val="008F1CFC"/>
    <w:rsid w:val="008F5AF4"/>
    <w:rsid w:val="00906990"/>
    <w:rsid w:val="00907355"/>
    <w:rsid w:val="00920E14"/>
    <w:rsid w:val="00926E65"/>
    <w:rsid w:val="00935632"/>
    <w:rsid w:val="00943E72"/>
    <w:rsid w:val="00951BE3"/>
    <w:rsid w:val="00954365"/>
    <w:rsid w:val="00972880"/>
    <w:rsid w:val="009939B3"/>
    <w:rsid w:val="009A6278"/>
    <w:rsid w:val="009B7B81"/>
    <w:rsid w:val="009C5073"/>
    <w:rsid w:val="009D5BF4"/>
    <w:rsid w:val="009F42F9"/>
    <w:rsid w:val="00A0001A"/>
    <w:rsid w:val="00A0016F"/>
    <w:rsid w:val="00A11F6D"/>
    <w:rsid w:val="00A211F8"/>
    <w:rsid w:val="00A22238"/>
    <w:rsid w:val="00A245FB"/>
    <w:rsid w:val="00A26F30"/>
    <w:rsid w:val="00A4364C"/>
    <w:rsid w:val="00A45968"/>
    <w:rsid w:val="00A472CE"/>
    <w:rsid w:val="00A47F16"/>
    <w:rsid w:val="00A94596"/>
    <w:rsid w:val="00A95994"/>
    <w:rsid w:val="00AA443B"/>
    <w:rsid w:val="00AB28E7"/>
    <w:rsid w:val="00AC52EE"/>
    <w:rsid w:val="00AD545F"/>
    <w:rsid w:val="00AD6C7B"/>
    <w:rsid w:val="00AE28B0"/>
    <w:rsid w:val="00AE2A6F"/>
    <w:rsid w:val="00AE6A06"/>
    <w:rsid w:val="00B06719"/>
    <w:rsid w:val="00B228C1"/>
    <w:rsid w:val="00B31BF8"/>
    <w:rsid w:val="00B3269B"/>
    <w:rsid w:val="00B45DA7"/>
    <w:rsid w:val="00B47DE7"/>
    <w:rsid w:val="00B70831"/>
    <w:rsid w:val="00B93C25"/>
    <w:rsid w:val="00B97D62"/>
    <w:rsid w:val="00BB3D3E"/>
    <w:rsid w:val="00BC7FD5"/>
    <w:rsid w:val="00BD222C"/>
    <w:rsid w:val="00BD36FD"/>
    <w:rsid w:val="00BD67FF"/>
    <w:rsid w:val="00BF1B73"/>
    <w:rsid w:val="00C00892"/>
    <w:rsid w:val="00C02D95"/>
    <w:rsid w:val="00C03540"/>
    <w:rsid w:val="00C044C8"/>
    <w:rsid w:val="00C30097"/>
    <w:rsid w:val="00C42EAB"/>
    <w:rsid w:val="00C43332"/>
    <w:rsid w:val="00C5574C"/>
    <w:rsid w:val="00C60085"/>
    <w:rsid w:val="00C62CAF"/>
    <w:rsid w:val="00CA1EAE"/>
    <w:rsid w:val="00CA58EC"/>
    <w:rsid w:val="00CB51FA"/>
    <w:rsid w:val="00CB5D20"/>
    <w:rsid w:val="00CD1D44"/>
    <w:rsid w:val="00CE1CAA"/>
    <w:rsid w:val="00CE66A1"/>
    <w:rsid w:val="00CE770F"/>
    <w:rsid w:val="00CE7DD6"/>
    <w:rsid w:val="00CF2307"/>
    <w:rsid w:val="00CF5B94"/>
    <w:rsid w:val="00D13C3E"/>
    <w:rsid w:val="00D16240"/>
    <w:rsid w:val="00D310DC"/>
    <w:rsid w:val="00D430E9"/>
    <w:rsid w:val="00D92DA2"/>
    <w:rsid w:val="00D93C59"/>
    <w:rsid w:val="00DC6372"/>
    <w:rsid w:val="00DD71DC"/>
    <w:rsid w:val="00E70AD7"/>
    <w:rsid w:val="00E75C72"/>
    <w:rsid w:val="00E82C7D"/>
    <w:rsid w:val="00E83235"/>
    <w:rsid w:val="00E95BFD"/>
    <w:rsid w:val="00EA6D72"/>
    <w:rsid w:val="00EC0BCB"/>
    <w:rsid w:val="00EC1D9C"/>
    <w:rsid w:val="00EC22CD"/>
    <w:rsid w:val="00ED21CF"/>
    <w:rsid w:val="00EE3368"/>
    <w:rsid w:val="00F327EE"/>
    <w:rsid w:val="00F3327A"/>
    <w:rsid w:val="00F34754"/>
    <w:rsid w:val="00F37E91"/>
    <w:rsid w:val="00F42A35"/>
    <w:rsid w:val="00F46539"/>
    <w:rsid w:val="00F51E58"/>
    <w:rsid w:val="00F52802"/>
    <w:rsid w:val="00F75E02"/>
    <w:rsid w:val="00F927FA"/>
    <w:rsid w:val="00F96C63"/>
    <w:rsid w:val="00FB2404"/>
    <w:rsid w:val="00FB28A4"/>
    <w:rsid w:val="00FB3731"/>
    <w:rsid w:val="00FB6D7A"/>
    <w:rsid w:val="00FE648D"/>
    <w:rsid w:val="00FF0786"/>
    <w:rsid w:val="00FF11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9F7002C5-E30E-40AF-9294-555178E2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0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01EB6"/>
    <w:pPr>
      <w:ind w:left="720"/>
      <w:contextualSpacing/>
    </w:pPr>
  </w:style>
  <w:style w:type="paragraph" w:styleId="Topptekst">
    <w:name w:val="header"/>
    <w:basedOn w:val="Normal"/>
    <w:link w:val="TopptekstTegn"/>
    <w:uiPriority w:val="99"/>
    <w:unhideWhenUsed/>
    <w:rsid w:val="00EC0BCB"/>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EC0BCB"/>
  </w:style>
  <w:style w:type="paragraph" w:styleId="Bunntekst">
    <w:name w:val="footer"/>
    <w:basedOn w:val="Normal"/>
    <w:link w:val="BunntekstTegn"/>
    <w:uiPriority w:val="99"/>
    <w:unhideWhenUsed/>
    <w:rsid w:val="00EC0BCB"/>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C0BCB"/>
  </w:style>
  <w:style w:type="paragraph" w:styleId="Bobletekst">
    <w:name w:val="Balloon Text"/>
    <w:basedOn w:val="Normal"/>
    <w:link w:val="BobletekstTegn"/>
    <w:uiPriority w:val="99"/>
    <w:semiHidden/>
    <w:unhideWhenUsed/>
    <w:rsid w:val="00FF111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F111F"/>
    <w:rPr>
      <w:rFonts w:ascii="Tahoma" w:hAnsi="Tahoma" w:cs="Tahoma"/>
      <w:sz w:val="16"/>
      <w:szCs w:val="16"/>
    </w:rPr>
  </w:style>
  <w:style w:type="character" w:styleId="Merknadsreferanse">
    <w:name w:val="annotation reference"/>
    <w:basedOn w:val="Standardskriftforavsnitt"/>
    <w:uiPriority w:val="99"/>
    <w:semiHidden/>
    <w:unhideWhenUsed/>
    <w:rsid w:val="00AD6C7B"/>
    <w:rPr>
      <w:sz w:val="16"/>
      <w:szCs w:val="16"/>
    </w:rPr>
  </w:style>
  <w:style w:type="paragraph" w:styleId="Merknadstekst">
    <w:name w:val="annotation text"/>
    <w:basedOn w:val="Normal"/>
    <w:link w:val="MerknadstekstTegn"/>
    <w:uiPriority w:val="99"/>
    <w:semiHidden/>
    <w:unhideWhenUsed/>
    <w:rsid w:val="00AD6C7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D6C7B"/>
    <w:rPr>
      <w:sz w:val="20"/>
      <w:szCs w:val="20"/>
    </w:rPr>
  </w:style>
  <w:style w:type="paragraph" w:styleId="Kommentaremne">
    <w:name w:val="annotation subject"/>
    <w:basedOn w:val="Merknadstekst"/>
    <w:next w:val="Merknadstekst"/>
    <w:link w:val="KommentaremneTegn"/>
    <w:uiPriority w:val="99"/>
    <w:semiHidden/>
    <w:unhideWhenUsed/>
    <w:rsid w:val="00AD6C7B"/>
    <w:rPr>
      <w:b/>
      <w:bCs/>
    </w:rPr>
  </w:style>
  <w:style w:type="character" w:customStyle="1" w:styleId="KommentaremneTegn">
    <w:name w:val="Kommentaremne Tegn"/>
    <w:basedOn w:val="MerknadstekstTegn"/>
    <w:link w:val="Kommentaremne"/>
    <w:uiPriority w:val="99"/>
    <w:semiHidden/>
    <w:rsid w:val="00AD6C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8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3510</Words>
  <Characters>18604</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Benkow, Mari</dc:creator>
  <cp:lastModifiedBy>Benkow, Mari</cp:lastModifiedBy>
  <cp:revision>2</cp:revision>
  <dcterms:created xsi:type="dcterms:W3CDTF">2016-01-26T12:04:00Z</dcterms:created>
  <dcterms:modified xsi:type="dcterms:W3CDTF">2016-01-26T12:04:00Z</dcterms:modified>
</cp:coreProperties>
</file>