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F1B1" w14:textId="643694D4" w:rsidR="03EE631E" w:rsidRDefault="03EE631E"/>
    <w:p w14:paraId="1CF879DC" w14:textId="1AFC0D0D" w:rsidR="004D6A9B" w:rsidRPr="008C0D7B" w:rsidRDefault="004D6A9B">
      <w:pPr>
        <w:rPr>
          <w:rFonts w:ascii="Arial" w:eastAsia="Arial" w:hAnsi="Arial" w:cs="Arial"/>
          <w:b/>
          <w:bCs/>
          <w:sz w:val="20"/>
          <w:szCs w:val="20"/>
        </w:rPr>
      </w:pPr>
      <w:r w:rsidRPr="008C0D7B">
        <w:rPr>
          <w:rFonts w:ascii="Arial" w:eastAsia="Arial" w:hAnsi="Arial" w:cs="Arial"/>
          <w:b/>
          <w:bCs/>
          <w:sz w:val="20"/>
          <w:szCs w:val="20"/>
        </w:rPr>
        <w:t>Eksempel på bruk av parameteren avtaledekning</w:t>
      </w: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2367"/>
        <w:gridCol w:w="6847"/>
      </w:tblGrid>
      <w:tr w:rsidR="004D6A9B" w:rsidRPr="00244C01" w14:paraId="4782C013" w14:textId="77777777" w:rsidTr="008C0D7B">
        <w:tc>
          <w:tcPr>
            <w:tcW w:w="2367" w:type="dxa"/>
            <w:shd w:val="clear" w:color="auto" w:fill="D9D9D9" w:themeFill="background1" w:themeFillShade="D9"/>
          </w:tcPr>
          <w:p w14:paraId="07616B29" w14:textId="529CC2CC" w:rsidR="004D6A9B" w:rsidRPr="008C0D7B" w:rsidRDefault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4863BA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Parameternavn</w:t>
            </w:r>
          </w:p>
        </w:tc>
        <w:tc>
          <w:tcPr>
            <w:tcW w:w="6847" w:type="dxa"/>
            <w:shd w:val="clear" w:color="auto" w:fill="D9D9D9" w:themeFill="background1" w:themeFillShade="D9"/>
          </w:tcPr>
          <w:p w14:paraId="3F58AA1C" w14:textId="42BC7336" w:rsidR="004D6A9B" w:rsidRPr="008C0D7B" w:rsidRDefault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Avtaledekning</w:t>
            </w:r>
          </w:p>
        </w:tc>
      </w:tr>
      <w:tr w:rsidR="004D6A9B" w:rsidRPr="00244C01" w14:paraId="22943700" w14:textId="77777777" w:rsidTr="7B0F678A">
        <w:tc>
          <w:tcPr>
            <w:tcW w:w="2367" w:type="dxa"/>
          </w:tcPr>
          <w:p w14:paraId="2A742D1C" w14:textId="77777777" w:rsidR="004D6A9B" w:rsidRPr="008C0D7B" w:rsidRDefault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847" w:type="dxa"/>
          </w:tcPr>
          <w:p w14:paraId="45F351C1" w14:textId="099D2D48" w:rsidR="004D6A9B" w:rsidRPr="008C0D7B" w:rsidRDefault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3CD5E39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Innkjøpsledelse og virksomhetsledelse</w:t>
            </w:r>
          </w:p>
        </w:tc>
      </w:tr>
      <w:tr w:rsidR="004D6A9B" w:rsidRPr="00244C01" w14:paraId="31667E11" w14:textId="77777777" w:rsidTr="7B0F678A">
        <w:tc>
          <w:tcPr>
            <w:tcW w:w="2367" w:type="dxa"/>
          </w:tcPr>
          <w:p w14:paraId="2B0EC555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0B5088C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6C15C550" w14:textId="77777777" w:rsidR="004D6A9B" w:rsidRPr="00244C01" w:rsidRDefault="004D6A9B" w:rsidP="004D6A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D1DED47">
              <w:rPr>
                <w:rFonts w:ascii="Arial" w:hAnsi="Arial" w:cs="Arial"/>
                <w:color w:val="000000" w:themeColor="text1"/>
                <w:sz w:val="20"/>
                <w:szCs w:val="20"/>
              </w:rPr>
              <w:t>Økonomiansvarlig</w:t>
            </w:r>
          </w:p>
          <w:p w14:paraId="1A3F81FB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4819ED19" w14:textId="78ADD26F" w:rsidR="004D6A9B" w:rsidRPr="00244C01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Avtaledekning er ett av de sentrale styringsparameterne på innkjøp. Til tross for dette er det få virksomheter som måler avtaledekning systematisk. </w:t>
            </w:r>
          </w:p>
          <w:p w14:paraId="116A2DAA" w14:textId="796DF571" w:rsidR="004D6A9B" w:rsidRPr="00244C01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Avtaledekning måles best innenfor en kategori da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</w:t>
            </w:r>
            <w:r w:rsidRPr="03EE631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åleparametret kan variere stort fra kategori til kategori. </w:t>
            </w:r>
          </w:p>
        </w:tc>
      </w:tr>
      <w:tr w:rsidR="004D6A9B" w14:paraId="377ABA44" w14:textId="77777777" w:rsidTr="7B0F678A">
        <w:tc>
          <w:tcPr>
            <w:tcW w:w="2367" w:type="dxa"/>
          </w:tcPr>
          <w:p w14:paraId="278C83D5" w14:textId="395898C4" w:rsidR="004D6A9B" w:rsidRPr="008C0D7B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1E9D3EA2" w14:textId="16E95C5D" w:rsidR="004D6A9B" w:rsidRPr="008C0D7B" w:rsidRDefault="004D6A9B" w:rsidP="004D6A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D6A9B" w:rsidRPr="00244C01" w14:paraId="16AE98AE" w14:textId="77777777" w:rsidTr="7B0F678A">
        <w:tc>
          <w:tcPr>
            <w:tcW w:w="2367" w:type="dxa"/>
          </w:tcPr>
          <w:p w14:paraId="7142D302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847" w:type="dxa"/>
          </w:tcPr>
          <w:p w14:paraId="7A8522EC" w14:textId="22409A1D" w:rsidR="004D6A9B" w:rsidRPr="00F71D05" w:rsidRDefault="004D6A9B" w:rsidP="004D6A9B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3EE631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Innkjøp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</w:t>
            </w:r>
            <w:r w:rsidRPr="03EE631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volum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dekket av </w:t>
            </w:r>
            <w:r w:rsidRPr="03EE631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avtale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r for foregående år</w:t>
            </w:r>
          </w:p>
          <w:p w14:paraId="2BA5E77E" w14:textId="7F0FC8EB" w:rsidR="004D6A9B" w:rsidRPr="00244C01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3EE631E">
              <w:rPr>
                <w:rFonts w:ascii="Arial" w:hAnsi="Arial" w:cs="Arial"/>
                <w:color w:val="000000" w:themeColor="text1"/>
                <w:sz w:val="20"/>
                <w:szCs w:val="20"/>
              </w:rPr>
              <w:t>Innkjøp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3EE631E">
              <w:rPr>
                <w:rFonts w:ascii="Arial" w:hAnsi="Arial" w:cs="Arial"/>
                <w:color w:val="000000" w:themeColor="text1"/>
                <w:sz w:val="20"/>
                <w:szCs w:val="20"/>
              </w:rPr>
              <w:t>volum totalt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foregående år</w:t>
            </w:r>
          </w:p>
        </w:tc>
      </w:tr>
      <w:tr w:rsidR="004D6A9B" w:rsidRPr="00244C01" w14:paraId="08BE40DA" w14:textId="77777777" w:rsidTr="7B0F678A">
        <w:tc>
          <w:tcPr>
            <w:tcW w:w="2367" w:type="dxa"/>
          </w:tcPr>
          <w:p w14:paraId="56F1577B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03B5DEF5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337053D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71DCBE74" w14:textId="1189285D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Parameteren fordrer en god oversikt over eksisterende avtaler. Ta utgangspunkt i avtaleoversikten. Benytt forventet årlig verdi på hver avtale.  </w:t>
            </w:r>
            <w:proofErr w:type="spell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Summér</w:t>
            </w:r>
            <w:proofErr w:type="spell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estimert volum på alle gyldige avtaler for foregående år. Del summen på totale kjøp for foregående år. </w:t>
            </w:r>
          </w:p>
          <w:p w14:paraId="3FD0A9C7" w14:textId="517EA015" w:rsidR="004D6A9B" w:rsidRDefault="004D6A9B" w:rsidP="004D6A9B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nb-NO"/>
              </w:rPr>
            </w:pPr>
          </w:p>
          <w:p w14:paraId="01D01821" w14:textId="6D79DAD7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Første steg: </w:t>
            </w:r>
          </w:p>
          <w:p w14:paraId="6EEE7803" w14:textId="55DE43B0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Dersom du ikke sitter med oversikten over alle avtalene dere har i din virksomhet, kan det være lurt å starte med å måle avtaledekning på sentrale rammeavtaler/samkjøpsavtaler. Gjør samme øvelse som over. (Ta utgangspunkt i rammeavtaleoversikten. Bruk forventet årlig verdi på hver enkelt avtale. </w:t>
            </w:r>
            <w:proofErr w:type="spell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Summér</w:t>
            </w:r>
            <w:proofErr w:type="spell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forventet verdi på alle gyldige avtaler for foregående år. Del summen på totale kjøp for foregående år.)</w:t>
            </w:r>
          </w:p>
          <w:p w14:paraId="1B37CCB8" w14:textId="77777777" w:rsidR="004D6A9B" w:rsidRDefault="004D6A9B" w:rsidP="004D6A9B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nb-NO"/>
              </w:rPr>
            </w:pPr>
          </w:p>
          <w:p w14:paraId="7E16A7AD" w14:textId="629B0BED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For den mer avanserte: </w:t>
            </w:r>
          </w:p>
          <w:p w14:paraId="4C90C1C0" w14:textId="19388BF6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proofErr w:type="spell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Beregn</w:t>
            </w:r>
            <w:proofErr w:type="spell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avtaledekning innenfor hver innkjøpskategori. </w:t>
            </w:r>
          </w:p>
          <w:p w14:paraId="3E27FA60" w14:textId="29861DF8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Dette forutsetter at du har kategorisert innkjøpsvolumet i virksomheten (</w:t>
            </w:r>
            <w:proofErr w:type="gram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link</w:t>
            </w:r>
            <w:proofErr w:type="gram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til konverteringstabell mellom </w:t>
            </w:r>
            <w:proofErr w:type="spell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statskonto</w:t>
            </w:r>
            <w:proofErr w:type="spell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og kategorier). I tillegg må du kategorisere avtalene dine. </w:t>
            </w:r>
          </w:p>
          <w:p w14:paraId="20D0E3C2" w14:textId="7B810A9F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Benytt forventet årlig verdi på hver avtale innenfor en kategori.  </w:t>
            </w:r>
            <w:proofErr w:type="spell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Summér</w:t>
            </w:r>
            <w:proofErr w:type="spell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estimert volum på alle eksisterende avtaler innenfor aktuell kategori for foregående år. Del summen på totale kjøp for aktuell kategori for foregående år.</w:t>
            </w:r>
          </w:p>
        </w:tc>
      </w:tr>
      <w:tr w:rsidR="004D6A9B" w:rsidRPr="00244C01" w14:paraId="7A1F56E8" w14:textId="77777777" w:rsidTr="7B0F678A">
        <w:tc>
          <w:tcPr>
            <w:tcW w:w="2367" w:type="dxa"/>
          </w:tcPr>
          <w:p w14:paraId="05CAA797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847" w:type="dxa"/>
          </w:tcPr>
          <w:p w14:paraId="4A8C0EC4" w14:textId="3816EAAD" w:rsidR="004D6A9B" w:rsidRPr="00244C01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Avtaledekning på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80</w:t>
            </w: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%</w:t>
            </w:r>
          </w:p>
        </w:tc>
      </w:tr>
      <w:tr w:rsidR="004D6A9B" w:rsidRPr="00244C01" w14:paraId="01D00351" w14:textId="77777777" w:rsidTr="7B0F678A">
        <w:tc>
          <w:tcPr>
            <w:tcW w:w="2367" w:type="dxa"/>
          </w:tcPr>
          <w:p w14:paraId="1F55FD17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40DB2A1B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05FC4539" w14:textId="48F9D367" w:rsidR="004D6A9B" w:rsidRPr="008C0D7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nn-NO" w:eastAsia="nb-NO"/>
              </w:rPr>
            </w:pPr>
            <w:proofErr w:type="spellStart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nn-NO" w:eastAsia="nb-NO"/>
              </w:rPr>
              <w:t>Sikrer</w:t>
            </w:r>
            <w:proofErr w:type="spellEnd"/>
            <w:r w:rsidRPr="008C0D7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nn-NO" w:eastAsia="nb-NO"/>
              </w:rPr>
              <w:t xml:space="preserve"> lovmessige innkjøp (innkjøp på gyldig avtale)</w:t>
            </w:r>
          </w:p>
          <w:p w14:paraId="2BB6A35A" w14:textId="7B8705F3" w:rsidR="004D6A9B" w:rsidRPr="00404A9B" w:rsidRDefault="004D6A9B" w:rsidP="004D6A9B">
            <w:pPr>
              <w:pStyle w:val="Listeavsnitt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Sikrer en kommersiell prosess i forkant av avtaleinngåelse</w:t>
            </w:r>
          </w:p>
          <w:p w14:paraId="32EB23FA" w14:textId="4DA62FDD" w:rsidR="004D6A9B" w:rsidRPr="00404A9B" w:rsidRDefault="004D6A9B" w:rsidP="004D6A9B">
            <w:pPr>
              <w:pStyle w:val="Listeavsnitt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Sikrer konkurranse</w:t>
            </w:r>
          </w:p>
        </w:tc>
      </w:tr>
      <w:tr w:rsidR="004D6A9B" w:rsidRPr="00244C01" w14:paraId="72E13B90" w14:textId="77777777" w:rsidTr="7B0F678A">
        <w:tc>
          <w:tcPr>
            <w:tcW w:w="2367" w:type="dxa"/>
          </w:tcPr>
          <w:p w14:paraId="241BF792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D1DED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5FF557E8" w14:textId="77777777" w:rsidR="004D6A9B" w:rsidRPr="00244C01" w:rsidRDefault="004D6A9B" w:rsidP="004D6A9B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847" w:type="dxa"/>
          </w:tcPr>
          <w:p w14:paraId="1039AD77" w14:textId="0B51F01A" w:rsidR="004D6A9B" w:rsidRDefault="004D6A9B" w:rsidP="004D6A9B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641B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Avtalelojalitet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:</w:t>
            </w:r>
          </w:p>
          <w:p w14:paraId="623A5524" w14:textId="7AE72ECA" w:rsidR="004D6A9B" w:rsidRPr="00641B3E" w:rsidRDefault="004D6A9B" w:rsidP="004D6A9B">
            <w:pPr>
              <w:rPr>
                <w:color w:val="000000" w:themeColor="text1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Avtalelojalitet beregner hvor stor del av innkjøpene som faktisk kjøpes på avtalene. </w:t>
            </w:r>
          </w:p>
        </w:tc>
      </w:tr>
    </w:tbl>
    <w:p w14:paraId="3CD5E39E" w14:textId="1A943CCC" w:rsidR="03EE631E" w:rsidRDefault="03EE631E"/>
    <w:p w14:paraId="68CC3D26" w14:textId="2B83ED7C" w:rsidR="03EE631E" w:rsidRPr="008C0D7B" w:rsidDel="3CD5E39E" w:rsidRDefault="2380C4FD" w:rsidP="008C0D7B">
      <w:pPr>
        <w:ind w:left="-23"/>
        <w:rPr>
          <w:rFonts w:ascii="Arial" w:eastAsia="Arial" w:hAnsi="Arial" w:cs="Arial"/>
          <w:b/>
          <w:bCs/>
          <w:sz w:val="20"/>
          <w:szCs w:val="20"/>
        </w:rPr>
      </w:pPr>
      <w:r w:rsidRPr="008C0D7B">
        <w:rPr>
          <w:rFonts w:ascii="Arial" w:eastAsia="Arial" w:hAnsi="Arial" w:cs="Arial"/>
          <w:b/>
          <w:bCs/>
          <w:sz w:val="20"/>
          <w:szCs w:val="20"/>
        </w:rPr>
        <w:t>Les mere om avtaledekning her:</w:t>
      </w:r>
    </w:p>
    <w:p w14:paraId="475002CF" w14:textId="19ED7B45" w:rsidR="154BDF38" w:rsidRPr="008C0D7B" w:rsidRDefault="154BDF38" w:rsidP="008C0D7B">
      <w:pPr>
        <w:ind w:left="-23"/>
        <w:rPr>
          <w:rFonts w:ascii="Arial" w:eastAsia="Arial" w:hAnsi="Arial" w:cs="Arial"/>
          <w:sz w:val="20"/>
          <w:szCs w:val="20"/>
        </w:rPr>
      </w:pPr>
      <w:r w:rsidRPr="008C0D7B">
        <w:rPr>
          <w:rFonts w:ascii="Arial" w:eastAsia="Arial" w:hAnsi="Arial" w:cs="Arial"/>
          <w:sz w:val="20"/>
          <w:szCs w:val="20"/>
        </w:rPr>
        <w:t>https://www.anskaffelser.no/prosess/innkjopsledelse/effektivisering-gjennom-anskaffelser/2-oversikt-over-avtaler</w:t>
      </w:r>
    </w:p>
    <w:p w14:paraId="38C33216" w14:textId="666C5D23" w:rsidR="64DD50B8" w:rsidRPr="008C0D7B" w:rsidRDefault="64DD50B8" w:rsidP="008C0D7B">
      <w:pPr>
        <w:ind w:left="-23"/>
        <w:rPr>
          <w:rFonts w:ascii="Arial" w:eastAsia="Arial" w:hAnsi="Arial" w:cs="Arial"/>
          <w:sz w:val="20"/>
          <w:szCs w:val="20"/>
        </w:rPr>
      </w:pPr>
    </w:p>
    <w:p w14:paraId="1339FFE4" w14:textId="7E99258D" w:rsidR="154BDF38" w:rsidRPr="008C0D7B" w:rsidRDefault="154BDF38" w:rsidP="008C0D7B">
      <w:pPr>
        <w:ind w:left="-23"/>
        <w:rPr>
          <w:rFonts w:ascii="Arial" w:eastAsia="Arial" w:hAnsi="Arial" w:cs="Arial"/>
          <w:sz w:val="24"/>
          <w:szCs w:val="24"/>
        </w:rPr>
      </w:pPr>
    </w:p>
    <w:p w14:paraId="1790B221" w14:textId="77777777" w:rsidR="2380C4FD" w:rsidRPr="008C0D7B" w:rsidRDefault="2380C4FD">
      <w:pPr>
        <w:rPr>
          <w:rFonts w:ascii="Arial" w:eastAsia="Arial" w:hAnsi="Arial" w:cs="Arial"/>
          <w:sz w:val="24"/>
          <w:szCs w:val="24"/>
        </w:rPr>
      </w:pPr>
    </w:p>
    <w:sectPr w:rsidR="2380C4FD" w:rsidRPr="008C0D7B" w:rsidSect="008C0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72E0" w14:textId="77777777" w:rsidR="001E5B13" w:rsidRDefault="001E5B13" w:rsidP="00040B25">
      <w:pPr>
        <w:spacing w:after="0" w:line="240" w:lineRule="auto"/>
      </w:pPr>
      <w:r>
        <w:separator/>
      </w:r>
    </w:p>
  </w:endnote>
  <w:endnote w:type="continuationSeparator" w:id="0">
    <w:p w14:paraId="573F3268" w14:textId="77777777" w:rsidR="001E5B13" w:rsidRDefault="001E5B13" w:rsidP="000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E7C2" w14:textId="77777777" w:rsidR="00D95D1F" w:rsidRDefault="00D95D1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493F" w14:textId="20926989" w:rsidR="00177D9C" w:rsidRDefault="00177D9C" w:rsidP="00177D9C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912D" w14:textId="77777777" w:rsidR="00D95D1F" w:rsidRDefault="00D95D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8AAD" w14:textId="77777777" w:rsidR="001E5B13" w:rsidRDefault="001E5B13" w:rsidP="00040B25">
      <w:pPr>
        <w:spacing w:after="0" w:line="240" w:lineRule="auto"/>
      </w:pPr>
      <w:r>
        <w:separator/>
      </w:r>
    </w:p>
  </w:footnote>
  <w:footnote w:type="continuationSeparator" w:id="0">
    <w:p w14:paraId="7D5B321B" w14:textId="77777777" w:rsidR="001E5B13" w:rsidRDefault="001E5B13" w:rsidP="0004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3CC9" w14:textId="77777777" w:rsidR="00D95D1F" w:rsidRDefault="00D95D1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7D0A" w14:textId="4A4B9488" w:rsidR="00040B25" w:rsidRDefault="00A755D7" w:rsidP="00177D9C">
    <w:pPr>
      <w:pStyle w:val="Topptekst"/>
    </w:pPr>
    <w:r>
      <w:rPr>
        <w:noProof/>
      </w:rPr>
      <w:drawing>
        <wp:inline distT="0" distB="0" distL="0" distR="0" wp14:anchorId="12217A93" wp14:editId="3BC46C27">
          <wp:extent cx="1307306" cy="361950"/>
          <wp:effectExtent l="0" t="0" r="0" b="0"/>
          <wp:docPr id="393580760" name="Bilde 2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80760" name="Bilde 2" descr="Et bilde som inneholder skjermbilde, Grafikk, Font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0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D1CB" w14:textId="77777777" w:rsidR="00D95D1F" w:rsidRDefault="00D95D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4F2"/>
    <w:multiLevelType w:val="hybridMultilevel"/>
    <w:tmpl w:val="1C7C1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1E6E"/>
    <w:multiLevelType w:val="hybridMultilevel"/>
    <w:tmpl w:val="37C83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35270"/>
    <w:multiLevelType w:val="hybridMultilevel"/>
    <w:tmpl w:val="A364A4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0852"/>
    <w:multiLevelType w:val="hybridMultilevel"/>
    <w:tmpl w:val="CFF2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F5CC2"/>
    <w:multiLevelType w:val="hybridMultilevel"/>
    <w:tmpl w:val="A6D6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103D"/>
    <w:multiLevelType w:val="hybridMultilevel"/>
    <w:tmpl w:val="51745E60"/>
    <w:lvl w:ilvl="0" w:tplc="DE24C03A">
      <w:start w:val="1"/>
      <w:numFmt w:val="decimal"/>
      <w:lvlText w:val="%1."/>
      <w:lvlJc w:val="left"/>
      <w:pPr>
        <w:ind w:left="720" w:hanging="360"/>
      </w:pPr>
    </w:lvl>
    <w:lvl w:ilvl="1" w:tplc="1AFA31DE">
      <w:start w:val="1"/>
      <w:numFmt w:val="lowerLetter"/>
      <w:lvlText w:val="%2."/>
      <w:lvlJc w:val="left"/>
      <w:pPr>
        <w:ind w:left="1440" w:hanging="360"/>
      </w:pPr>
    </w:lvl>
    <w:lvl w:ilvl="2" w:tplc="5B8C79CA">
      <w:start w:val="1"/>
      <w:numFmt w:val="lowerRoman"/>
      <w:lvlText w:val="%3."/>
      <w:lvlJc w:val="right"/>
      <w:pPr>
        <w:ind w:left="2160" w:hanging="180"/>
      </w:pPr>
    </w:lvl>
    <w:lvl w:ilvl="3" w:tplc="B4BE6A32">
      <w:start w:val="1"/>
      <w:numFmt w:val="decimal"/>
      <w:lvlText w:val="%4."/>
      <w:lvlJc w:val="left"/>
      <w:pPr>
        <w:ind w:left="2880" w:hanging="360"/>
      </w:pPr>
    </w:lvl>
    <w:lvl w:ilvl="4" w:tplc="66D45046">
      <w:start w:val="1"/>
      <w:numFmt w:val="lowerLetter"/>
      <w:lvlText w:val="%5."/>
      <w:lvlJc w:val="left"/>
      <w:pPr>
        <w:ind w:left="3600" w:hanging="360"/>
      </w:pPr>
    </w:lvl>
    <w:lvl w:ilvl="5" w:tplc="0E58C424">
      <w:start w:val="1"/>
      <w:numFmt w:val="lowerRoman"/>
      <w:lvlText w:val="%6."/>
      <w:lvlJc w:val="right"/>
      <w:pPr>
        <w:ind w:left="4320" w:hanging="180"/>
      </w:pPr>
    </w:lvl>
    <w:lvl w:ilvl="6" w:tplc="378A3258">
      <w:start w:val="1"/>
      <w:numFmt w:val="decimal"/>
      <w:lvlText w:val="%7."/>
      <w:lvlJc w:val="left"/>
      <w:pPr>
        <w:ind w:left="5040" w:hanging="360"/>
      </w:pPr>
    </w:lvl>
    <w:lvl w:ilvl="7" w:tplc="E81E6604">
      <w:start w:val="1"/>
      <w:numFmt w:val="lowerLetter"/>
      <w:lvlText w:val="%8."/>
      <w:lvlJc w:val="left"/>
      <w:pPr>
        <w:ind w:left="5760" w:hanging="360"/>
      </w:pPr>
    </w:lvl>
    <w:lvl w:ilvl="8" w:tplc="3FFE85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5919"/>
    <w:multiLevelType w:val="hybridMultilevel"/>
    <w:tmpl w:val="5CC8C8B6"/>
    <w:lvl w:ilvl="0" w:tplc="D85CCA6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0A44"/>
    <w:multiLevelType w:val="hybridMultilevel"/>
    <w:tmpl w:val="1C7C1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0139A"/>
    <w:multiLevelType w:val="hybridMultilevel"/>
    <w:tmpl w:val="4A3664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076BE"/>
    <w:multiLevelType w:val="hybridMultilevel"/>
    <w:tmpl w:val="3EAA8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22A4"/>
    <w:multiLevelType w:val="hybridMultilevel"/>
    <w:tmpl w:val="53CC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65203">
    <w:abstractNumId w:val="5"/>
  </w:num>
  <w:num w:numId="2" w16cid:durableId="966591318">
    <w:abstractNumId w:val="4"/>
  </w:num>
  <w:num w:numId="3" w16cid:durableId="1277711874">
    <w:abstractNumId w:val="6"/>
  </w:num>
  <w:num w:numId="4" w16cid:durableId="272904373">
    <w:abstractNumId w:val="1"/>
  </w:num>
  <w:num w:numId="5" w16cid:durableId="2129619760">
    <w:abstractNumId w:val="8"/>
  </w:num>
  <w:num w:numId="6" w16cid:durableId="1033576775">
    <w:abstractNumId w:val="7"/>
  </w:num>
  <w:num w:numId="7" w16cid:durableId="356583546">
    <w:abstractNumId w:val="2"/>
  </w:num>
  <w:num w:numId="8" w16cid:durableId="1754006449">
    <w:abstractNumId w:val="0"/>
  </w:num>
  <w:num w:numId="9" w16cid:durableId="948701121">
    <w:abstractNumId w:val="10"/>
  </w:num>
  <w:num w:numId="10" w16cid:durableId="1365249489">
    <w:abstractNumId w:val="3"/>
  </w:num>
  <w:num w:numId="11" w16cid:durableId="8025754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6"/>
    <w:rsid w:val="000205AF"/>
    <w:rsid w:val="00040336"/>
    <w:rsid w:val="00040B25"/>
    <w:rsid w:val="00086FD5"/>
    <w:rsid w:val="00092469"/>
    <w:rsid w:val="00120EB4"/>
    <w:rsid w:val="001221CD"/>
    <w:rsid w:val="00140AF4"/>
    <w:rsid w:val="00177D9C"/>
    <w:rsid w:val="001E5B13"/>
    <w:rsid w:val="00221A6E"/>
    <w:rsid w:val="002357AE"/>
    <w:rsid w:val="00244C01"/>
    <w:rsid w:val="00245DE5"/>
    <w:rsid w:val="002F78CF"/>
    <w:rsid w:val="00303109"/>
    <w:rsid w:val="003074DB"/>
    <w:rsid w:val="00316EB9"/>
    <w:rsid w:val="003F0D0D"/>
    <w:rsid w:val="00404A9B"/>
    <w:rsid w:val="00456289"/>
    <w:rsid w:val="004713DD"/>
    <w:rsid w:val="004A1436"/>
    <w:rsid w:val="004B4315"/>
    <w:rsid w:val="004C5318"/>
    <w:rsid w:val="004D6A9B"/>
    <w:rsid w:val="004D7DDC"/>
    <w:rsid w:val="00507AF1"/>
    <w:rsid w:val="0057612A"/>
    <w:rsid w:val="00593676"/>
    <w:rsid w:val="005F47FF"/>
    <w:rsid w:val="00641B3E"/>
    <w:rsid w:val="006857F4"/>
    <w:rsid w:val="007065F6"/>
    <w:rsid w:val="007208FC"/>
    <w:rsid w:val="007438E7"/>
    <w:rsid w:val="007601FC"/>
    <w:rsid w:val="0077742F"/>
    <w:rsid w:val="00796677"/>
    <w:rsid w:val="007E0C36"/>
    <w:rsid w:val="007F640F"/>
    <w:rsid w:val="00842298"/>
    <w:rsid w:val="008649C2"/>
    <w:rsid w:val="008C0D7B"/>
    <w:rsid w:val="008E27AC"/>
    <w:rsid w:val="009007F2"/>
    <w:rsid w:val="009547D4"/>
    <w:rsid w:val="00983EE5"/>
    <w:rsid w:val="009E40BD"/>
    <w:rsid w:val="00A651FE"/>
    <w:rsid w:val="00A736F9"/>
    <w:rsid w:val="00A755D7"/>
    <w:rsid w:val="00AC6734"/>
    <w:rsid w:val="00B3315E"/>
    <w:rsid w:val="00B5306D"/>
    <w:rsid w:val="00BC1141"/>
    <w:rsid w:val="00BC5911"/>
    <w:rsid w:val="00BE5E86"/>
    <w:rsid w:val="00C3374B"/>
    <w:rsid w:val="00C70B6A"/>
    <w:rsid w:val="00C80260"/>
    <w:rsid w:val="00CE2971"/>
    <w:rsid w:val="00D12F48"/>
    <w:rsid w:val="00D95D1F"/>
    <w:rsid w:val="00DE0422"/>
    <w:rsid w:val="00E10066"/>
    <w:rsid w:val="00E2232A"/>
    <w:rsid w:val="00EC41D7"/>
    <w:rsid w:val="00EC786D"/>
    <w:rsid w:val="00F27894"/>
    <w:rsid w:val="00F710C3"/>
    <w:rsid w:val="00F71D05"/>
    <w:rsid w:val="00FA4DD6"/>
    <w:rsid w:val="01E8C720"/>
    <w:rsid w:val="03EE631E"/>
    <w:rsid w:val="0D1DED47"/>
    <w:rsid w:val="154BDF38"/>
    <w:rsid w:val="2380C4FD"/>
    <w:rsid w:val="32B161B6"/>
    <w:rsid w:val="377ABA44"/>
    <w:rsid w:val="3CD5E39E"/>
    <w:rsid w:val="4863BACD"/>
    <w:rsid w:val="64DD50B8"/>
    <w:rsid w:val="7B0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B2D81"/>
  <w15:chartTrackingRefBased/>
  <w15:docId w15:val="{F1B09474-929C-44CB-A37F-DB905EA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A4DD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FA4DD6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A4DD6"/>
    <w:rPr>
      <w:rFonts w:eastAsiaTheme="minorEastAsia" w:cs="Times New Roman"/>
      <w:sz w:val="20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FA4DD6"/>
    <w:rPr>
      <w:i/>
      <w:iCs/>
    </w:rPr>
  </w:style>
  <w:style w:type="table" w:styleId="Middelsskyggelegging2uthevingsfarge5">
    <w:name w:val="Medium Shading 2 Accent 5"/>
    <w:basedOn w:val="Vanligtabell"/>
    <w:uiPriority w:val="64"/>
    <w:rsid w:val="00FA4DD6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DE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B25"/>
  </w:style>
  <w:style w:type="paragraph" w:styleId="Bunntekst">
    <w:name w:val="footer"/>
    <w:basedOn w:val="Normal"/>
    <w:link w:val="Bunn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B25"/>
  </w:style>
  <w:style w:type="paragraph" w:styleId="Bobletekst">
    <w:name w:val="Balloon Text"/>
    <w:basedOn w:val="Normal"/>
    <w:link w:val="BobletekstTegn"/>
    <w:uiPriority w:val="99"/>
    <w:semiHidden/>
    <w:unhideWhenUsed/>
    <w:rsid w:val="005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A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44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4C01"/>
    <w:rPr>
      <w:color w:val="0000FF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77742F"/>
    <w:rPr>
      <w:color w:val="2B579A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4033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4033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4033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033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40336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720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1AD4-9A12-40A6-9141-F7AA14EF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14639-F32F-4EBE-8F32-94CE2CEE47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E955F-1B3D-492F-B4F7-6CE421ACA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47A38-DEF0-4D4F-872A-BB7CAA6C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5</cp:revision>
  <cp:lastPrinted>2017-12-14T13:24:00Z</cp:lastPrinted>
  <dcterms:created xsi:type="dcterms:W3CDTF">2023-05-16T08:08:00Z</dcterms:created>
  <dcterms:modified xsi:type="dcterms:W3CDTF">2023-05-16T08:12:00Z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