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2448F9" w:rsidP="00371BFE"/>
    <w:p w14:paraId="61323674" w14:textId="2E27EFD5" w:rsidR="00371BFE" w:rsidRDefault="00371BFE" w:rsidP="00371BFE">
      <w:r>
        <w:t xml:space="preserve">Dette er </w:t>
      </w:r>
      <w:proofErr w:type="spellStart"/>
      <w:r>
        <w:t>Difis</w:t>
      </w:r>
      <w:proofErr w:type="spellEnd"/>
      <w:r>
        <w:t xml:space="preserve"> endringslogg for SSA-</w:t>
      </w:r>
      <w:r w:rsidR="00E92B09">
        <w:t>K</w:t>
      </w:r>
      <w:r>
        <w:t>. Den inneholder endringer som er gjort fra 2015 versjonen til 2018 versjonen, samt løpende justeringer og presiseringer.</w:t>
      </w:r>
    </w:p>
    <w:p w14:paraId="7951D4AD" w14:textId="5358F120" w:rsidR="00630DFE" w:rsidRDefault="00630DFE" w:rsidP="00371BFE"/>
    <w:tbl>
      <w:tblPr>
        <w:tblStyle w:val="Tabellrutenett"/>
        <w:tblW w:w="9426" w:type="dxa"/>
        <w:tblLook w:val="04A0" w:firstRow="1" w:lastRow="0" w:firstColumn="1" w:lastColumn="0" w:noHBand="0" w:noVBand="1"/>
      </w:tblPr>
      <w:tblGrid>
        <w:gridCol w:w="4644"/>
        <w:gridCol w:w="4782"/>
      </w:tblGrid>
      <w:tr w:rsidR="00630DFE" w14:paraId="0C7AF39A" w14:textId="77777777" w:rsidTr="00727B46">
        <w:trPr>
          <w:trHeight w:val="476"/>
        </w:trPr>
        <w:tc>
          <w:tcPr>
            <w:tcW w:w="4644" w:type="dxa"/>
            <w:shd w:val="clear" w:color="auto" w:fill="B4C6E7" w:themeFill="accent1" w:themeFillTint="66"/>
          </w:tcPr>
          <w:p w14:paraId="57684D9F" w14:textId="27E61F38" w:rsidR="00630DFE" w:rsidRDefault="00630DFE" w:rsidP="00630DFE">
            <w:pPr>
              <w:rPr>
                <w:b/>
              </w:rPr>
            </w:pPr>
            <w:r>
              <w:rPr>
                <w:b/>
              </w:rPr>
              <w:t>SSA-</w:t>
            </w:r>
            <w:r w:rsidR="00E92B09">
              <w:rPr>
                <w:b/>
              </w:rPr>
              <w:t>K</w:t>
            </w:r>
            <w:r>
              <w:rPr>
                <w:b/>
              </w:rPr>
              <w:t xml:space="preserve"> 2015 Punkt/overskrift</w:t>
            </w:r>
          </w:p>
          <w:p w14:paraId="5BAE2CC1" w14:textId="77777777" w:rsidR="00630DFE" w:rsidRPr="00E627C5" w:rsidRDefault="00630DFE" w:rsidP="001B0399">
            <w:pPr>
              <w:rPr>
                <w:b/>
              </w:rPr>
            </w:pPr>
          </w:p>
        </w:tc>
        <w:tc>
          <w:tcPr>
            <w:tcW w:w="4782" w:type="dxa"/>
            <w:shd w:val="clear" w:color="auto" w:fill="B4C6E7" w:themeFill="accent1" w:themeFillTint="66"/>
          </w:tcPr>
          <w:p w14:paraId="14794C90" w14:textId="5641E2AE" w:rsidR="00630DFE" w:rsidRPr="00E627C5" w:rsidRDefault="00630DFE" w:rsidP="001B0399">
            <w:pPr>
              <w:rPr>
                <w:b/>
              </w:rPr>
            </w:pPr>
            <w:r>
              <w:rPr>
                <w:b/>
              </w:rPr>
              <w:t>SSA-</w:t>
            </w:r>
            <w:r w:rsidR="00E92B09">
              <w:rPr>
                <w:b/>
              </w:rPr>
              <w:t>K</w:t>
            </w:r>
            <w:r>
              <w:rPr>
                <w:b/>
              </w:rPr>
              <w:t xml:space="preserve"> 2018 Punkt/</w:t>
            </w:r>
            <w:r w:rsidR="00BF3AB8">
              <w:rPr>
                <w:b/>
              </w:rPr>
              <w:t>o</w:t>
            </w:r>
            <w:r>
              <w:rPr>
                <w:b/>
              </w:rPr>
              <w:t>verskrift</w:t>
            </w:r>
          </w:p>
        </w:tc>
      </w:tr>
      <w:tr w:rsidR="00630DFE" w14:paraId="06599C39" w14:textId="77777777" w:rsidTr="00727B46">
        <w:trPr>
          <w:trHeight w:val="3191"/>
        </w:trPr>
        <w:tc>
          <w:tcPr>
            <w:tcW w:w="4644" w:type="dxa"/>
          </w:tcPr>
          <w:p w14:paraId="6430A751" w14:textId="77777777" w:rsidR="00630DFE" w:rsidRDefault="00630DFE" w:rsidP="001B0399">
            <w:pPr>
              <w:rPr>
                <w:b/>
              </w:rPr>
            </w:pPr>
            <w:r w:rsidRPr="00630DFE">
              <w:rPr>
                <w:b/>
              </w:rPr>
              <w:t xml:space="preserve">Punkt </w:t>
            </w:r>
            <w:r w:rsidR="00D71355">
              <w:rPr>
                <w:b/>
              </w:rPr>
              <w:t xml:space="preserve">1.1 </w:t>
            </w:r>
            <w:r w:rsidR="00192FB9">
              <w:rPr>
                <w:b/>
              </w:rPr>
              <w:t>Avtalens omfang</w:t>
            </w:r>
          </w:p>
          <w:p w14:paraId="263CCF68" w14:textId="0B01D02E" w:rsidR="00576C53" w:rsidRPr="00E627C5" w:rsidRDefault="00C44F2A" w:rsidP="001B0399">
            <w:pPr>
              <w:rPr>
                <w:i/>
              </w:rPr>
            </w:pPr>
            <w:r>
              <w:rPr>
                <w:i/>
              </w:rPr>
              <w:t xml:space="preserve">Teksten er uendret med unntak av </w:t>
            </w:r>
            <w:r w:rsidR="0093034C">
              <w:rPr>
                <w:i/>
              </w:rPr>
              <w:t>nytt avsnitt</w:t>
            </w:r>
            <w:r w:rsidR="00306484">
              <w:rPr>
                <w:i/>
              </w:rPr>
              <w:t xml:space="preserve"> 4</w:t>
            </w:r>
            <w:r w:rsidR="0093034C">
              <w:rPr>
                <w:i/>
              </w:rPr>
              <w:t xml:space="preserve"> i 2018 versjonen.</w:t>
            </w:r>
          </w:p>
        </w:tc>
        <w:tc>
          <w:tcPr>
            <w:tcW w:w="4782" w:type="dxa"/>
          </w:tcPr>
          <w:p w14:paraId="07200F79" w14:textId="724057DE" w:rsidR="00630DFE" w:rsidRDefault="00192FB9" w:rsidP="009957BA">
            <w:pPr>
              <w:rPr>
                <w:b/>
              </w:rPr>
            </w:pPr>
            <w:bookmarkStart w:id="0" w:name="_Toc507581776"/>
            <w:bookmarkStart w:id="1" w:name="_Toc511651104"/>
            <w:r w:rsidRPr="00630DFE">
              <w:rPr>
                <w:b/>
              </w:rPr>
              <w:t xml:space="preserve">Punkt </w:t>
            </w:r>
            <w:r>
              <w:rPr>
                <w:b/>
              </w:rPr>
              <w:t>1.1 Avtalens omf</w:t>
            </w:r>
            <w:r w:rsidR="009957BA">
              <w:rPr>
                <w:b/>
              </w:rPr>
              <w:t>ang</w:t>
            </w:r>
            <w:bookmarkEnd w:id="0"/>
            <w:bookmarkEnd w:id="1"/>
            <w:r w:rsidR="00630DFE" w:rsidRPr="009957BA">
              <w:rPr>
                <w:b/>
              </w:rPr>
              <w:t xml:space="preserve"> </w:t>
            </w:r>
          </w:p>
          <w:p w14:paraId="2977D643" w14:textId="36A19E3B" w:rsidR="007B28FF" w:rsidRPr="00EA4DD9" w:rsidRDefault="007B28FF" w:rsidP="009957BA">
            <w:pPr>
              <w:rPr>
                <w:b/>
                <w:i/>
              </w:rPr>
            </w:pPr>
            <w:r w:rsidRPr="00EA4DD9">
              <w:rPr>
                <w:b/>
                <w:i/>
              </w:rPr>
              <w:t>Nytt avsnitt 4</w:t>
            </w:r>
          </w:p>
          <w:p w14:paraId="2AD2F70C" w14:textId="77777777" w:rsidR="005F1A42" w:rsidRDefault="005F1A42" w:rsidP="005F1A42">
            <w:pPr>
              <w:rPr>
                <w:rFonts w:cstheme="minorHAnsi"/>
              </w:rPr>
            </w:pPr>
            <w:r>
              <w:rPr>
                <w:rFonts w:cstheme="minorHAnsi"/>
              </w:rPr>
              <w:t>Dersom det er krav til Kundens medvirkning for at leverandøren skal kunne levere etter avtalen skal Leverandøren, i bilag 2, beskrive Kundens medvirkning tilstrekkelig detaljert til at Kunden kan forberede seg og stille med angitt kompetanse til angitt tid under avtalen.</w:t>
            </w:r>
          </w:p>
          <w:p w14:paraId="7A5C403B" w14:textId="77777777" w:rsidR="005F1A42" w:rsidRDefault="005F1A42" w:rsidP="005F1A42">
            <w:pPr>
              <w:rPr>
                <w:rFonts w:cstheme="minorHAnsi"/>
              </w:rPr>
            </w:pPr>
          </w:p>
          <w:p w14:paraId="5D865AE3" w14:textId="3C809E86" w:rsidR="00630DFE" w:rsidRDefault="005F1A42" w:rsidP="00280C19">
            <w:r>
              <w:rPr>
                <w:rFonts w:cstheme="minorHAnsi"/>
              </w:rPr>
              <w:t>Med avtalen menes denne generelle avtaleteksten med bilag.</w:t>
            </w:r>
          </w:p>
        </w:tc>
      </w:tr>
      <w:tr w:rsidR="009C7629" w14:paraId="09050FCD" w14:textId="77777777" w:rsidTr="00727B46">
        <w:trPr>
          <w:trHeight w:val="557"/>
        </w:trPr>
        <w:tc>
          <w:tcPr>
            <w:tcW w:w="4644" w:type="dxa"/>
            <w:shd w:val="clear" w:color="auto" w:fill="8EAADB" w:themeFill="accent1" w:themeFillTint="99"/>
          </w:tcPr>
          <w:p w14:paraId="3888909E" w14:textId="04412541" w:rsidR="009C7629" w:rsidRPr="00630DFE" w:rsidRDefault="00B86AED" w:rsidP="001B0399">
            <w:pPr>
              <w:rPr>
                <w:b/>
              </w:rPr>
            </w:pPr>
            <w:r>
              <w:rPr>
                <w:b/>
              </w:rPr>
              <w:t>SSA-K 2018 Punkt/overskrift</w:t>
            </w:r>
          </w:p>
        </w:tc>
        <w:tc>
          <w:tcPr>
            <w:tcW w:w="4782" w:type="dxa"/>
            <w:shd w:val="clear" w:color="auto" w:fill="8EAADB" w:themeFill="accent1" w:themeFillTint="99"/>
          </w:tcPr>
          <w:p w14:paraId="6A20D7D6" w14:textId="1BBEBA27" w:rsidR="009C7629" w:rsidRPr="00630DFE" w:rsidRDefault="00B86AED" w:rsidP="009957BA">
            <w:pPr>
              <w:rPr>
                <w:b/>
              </w:rPr>
            </w:pPr>
            <w:r>
              <w:rPr>
                <w:b/>
              </w:rPr>
              <w:t>SSA-K 2018 oppdateringer</w:t>
            </w:r>
            <w:r w:rsidR="00727B46">
              <w:rPr>
                <w:b/>
              </w:rPr>
              <w:t xml:space="preserve"> Punkt og/overskrift</w:t>
            </w:r>
          </w:p>
        </w:tc>
      </w:tr>
      <w:tr w:rsidR="00280C19" w14:paraId="5800EB18" w14:textId="77777777" w:rsidTr="00727B46">
        <w:trPr>
          <w:trHeight w:val="3191"/>
        </w:trPr>
        <w:tc>
          <w:tcPr>
            <w:tcW w:w="4644" w:type="dxa"/>
          </w:tcPr>
          <w:p w14:paraId="223D4DDE" w14:textId="3F84DFFF" w:rsidR="002F2371" w:rsidRPr="002F2371" w:rsidRDefault="002F2371" w:rsidP="002F2371">
            <w:pPr>
              <w:rPr>
                <w:b/>
              </w:rPr>
            </w:pPr>
            <w:bookmarkStart w:id="2" w:name="_Toc529799045"/>
            <w:r w:rsidRPr="002F2371">
              <w:rPr>
                <w:b/>
              </w:rPr>
              <w:t xml:space="preserve"> Punkt 3.2 </w:t>
            </w:r>
            <w:r w:rsidRPr="002F2371">
              <w:rPr>
                <w:b/>
              </w:rPr>
              <w:t>Faktureringstidspunkt og betalingsbetingelser</w:t>
            </w:r>
            <w:bookmarkEnd w:id="2"/>
          </w:p>
          <w:p w14:paraId="1F9104EC" w14:textId="77777777" w:rsidR="00280C19" w:rsidRDefault="00280C19" w:rsidP="001B0399">
            <w:pPr>
              <w:rPr>
                <w:b/>
              </w:rPr>
            </w:pPr>
          </w:p>
          <w:p w14:paraId="1976964C" w14:textId="77777777" w:rsidR="00BA2783" w:rsidRPr="006F58BB" w:rsidRDefault="00BA2783" w:rsidP="00BA2783">
            <w:pPr>
              <w:rPr>
                <w:rFonts w:cstheme="minorHAnsi"/>
              </w:rPr>
            </w:pPr>
            <w:r w:rsidRPr="006F58BB">
              <w:rPr>
                <w:rFonts w:cstheme="minorHAnsi"/>
              </w:rPr>
              <w:t xml:space="preserve">Vederlag for programvare og utstyr faktureres på det tidspunkt levering anses skjedd i henhold til punkt 2.1.5, med mindre annet </w:t>
            </w:r>
            <w:proofErr w:type="gramStart"/>
            <w:r w:rsidRPr="006F58BB">
              <w:rPr>
                <w:rFonts w:cstheme="minorHAnsi"/>
              </w:rPr>
              <w:t>fremkommer</w:t>
            </w:r>
            <w:proofErr w:type="gramEnd"/>
            <w:r w:rsidRPr="006F58BB">
              <w:rPr>
                <w:rFonts w:cstheme="minorHAnsi"/>
              </w:rPr>
              <w:t xml:space="preserve"> i bilag 7. Opplæring og annen bistand faktureres når ytelsene er utført, etterskuddsvis per måned. </w:t>
            </w:r>
          </w:p>
          <w:p w14:paraId="75709CCD" w14:textId="77777777" w:rsidR="00BA2783" w:rsidRPr="006F58BB" w:rsidRDefault="00BA2783" w:rsidP="00BA2783">
            <w:pPr>
              <w:rPr>
                <w:rFonts w:cstheme="minorHAnsi"/>
              </w:rPr>
            </w:pPr>
          </w:p>
          <w:p w14:paraId="7C3C5157" w14:textId="77777777" w:rsidR="00BA2783" w:rsidRPr="006F58BB" w:rsidRDefault="00BA2783" w:rsidP="00BA2783">
            <w:pPr>
              <w:rPr>
                <w:rFonts w:cstheme="minorHAnsi"/>
              </w:rPr>
            </w:pPr>
            <w:r w:rsidRPr="006F58BB">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10973F6" w14:textId="77777777" w:rsidR="00BA2783" w:rsidRPr="006F58BB" w:rsidRDefault="00BA2783" w:rsidP="00BA2783">
            <w:pPr>
              <w:rPr>
                <w:rFonts w:cstheme="minorHAnsi"/>
              </w:rPr>
            </w:pPr>
          </w:p>
          <w:p w14:paraId="52B279DC" w14:textId="77777777" w:rsidR="00BA2783" w:rsidRPr="006F58BB" w:rsidRDefault="00BA2783" w:rsidP="00BA2783">
            <w:pPr>
              <w:rPr>
                <w:rFonts w:cstheme="minorHAnsi"/>
              </w:rPr>
            </w:pPr>
            <w:r w:rsidRPr="006F58BB">
              <w:rPr>
                <w:rFonts w:cstheme="minorHAnsi"/>
              </w:rPr>
              <w:t xml:space="preserve">Der Kunden har tilrettelagt for det, skal Leverandøren levere faktura, kreditnotaer og purringer i henhold til det fastsatte formatet Elektronisk </w:t>
            </w:r>
            <w:proofErr w:type="spellStart"/>
            <w:r w:rsidRPr="006F58BB">
              <w:rPr>
                <w:rFonts w:cstheme="minorHAnsi"/>
              </w:rPr>
              <w:t>handelsformat</w:t>
            </w:r>
            <w:proofErr w:type="spellEnd"/>
            <w:r w:rsidRPr="006F58BB">
              <w:rPr>
                <w:rFonts w:cstheme="minorHAnsi"/>
              </w:rPr>
              <w:t xml:space="preserve"> (EHF). </w:t>
            </w:r>
          </w:p>
          <w:p w14:paraId="23F9D06E" w14:textId="77777777" w:rsidR="00BA2783" w:rsidRPr="006F58BB" w:rsidRDefault="00BA2783" w:rsidP="00BA2783">
            <w:pPr>
              <w:rPr>
                <w:rFonts w:cstheme="minorHAnsi"/>
              </w:rPr>
            </w:pPr>
          </w:p>
          <w:p w14:paraId="41BDC7D4" w14:textId="77777777" w:rsidR="00BA2783" w:rsidRPr="006F58BB" w:rsidRDefault="00BA2783" w:rsidP="00BA2783">
            <w:pPr>
              <w:rPr>
                <w:rFonts w:cstheme="minorHAnsi"/>
              </w:rPr>
            </w:pPr>
            <w:r w:rsidRPr="006F58BB">
              <w:rPr>
                <w:rFonts w:cstheme="minorHAnsi"/>
              </w:rPr>
              <w:t xml:space="preserve">Øvrige betalingsvilkår samt eventuelle vilkår for bruk av EHF </w:t>
            </w:r>
            <w:proofErr w:type="gramStart"/>
            <w:r w:rsidRPr="006F58BB">
              <w:rPr>
                <w:rFonts w:cstheme="minorHAnsi"/>
              </w:rPr>
              <w:t>fremgår</w:t>
            </w:r>
            <w:proofErr w:type="gramEnd"/>
            <w:r w:rsidRPr="006F58BB">
              <w:rPr>
                <w:rFonts w:cstheme="minorHAnsi"/>
              </w:rPr>
              <w:t xml:space="preserve"> av bilag 7.</w:t>
            </w:r>
          </w:p>
          <w:p w14:paraId="28A7EEE0" w14:textId="77777777" w:rsidR="00BA2783" w:rsidRPr="006F58BB" w:rsidRDefault="00BA2783" w:rsidP="00BA2783">
            <w:pPr>
              <w:rPr>
                <w:rFonts w:cstheme="minorHAnsi"/>
                <w:i/>
                <w:iCs/>
              </w:rPr>
            </w:pPr>
          </w:p>
          <w:p w14:paraId="4D83DF91" w14:textId="77777777" w:rsidR="00BA2783" w:rsidRPr="006F58BB" w:rsidRDefault="00BA2783" w:rsidP="00BA2783">
            <w:pPr>
              <w:rPr>
                <w:rFonts w:cstheme="minorHAnsi"/>
              </w:rPr>
            </w:pPr>
            <w:r w:rsidRPr="006F58BB">
              <w:rPr>
                <w:rFonts w:cstheme="minorHAnsi"/>
              </w:rPr>
              <w:t>Leverandøren må selv bære eventuelle kostnader som levering av elektronisk faktura måtte medføre for denne.</w:t>
            </w:r>
          </w:p>
          <w:p w14:paraId="57248F7F" w14:textId="77777777" w:rsidR="00BA2783" w:rsidRPr="006F58BB" w:rsidRDefault="00BA2783" w:rsidP="00BA2783">
            <w:pPr>
              <w:rPr>
                <w:rFonts w:cstheme="minorHAnsi"/>
              </w:rPr>
            </w:pPr>
          </w:p>
          <w:p w14:paraId="6C113EE5" w14:textId="30A1E277" w:rsidR="00BA2783" w:rsidRPr="00630DFE" w:rsidRDefault="00BA2783" w:rsidP="00BA2783">
            <w:pPr>
              <w:rPr>
                <w:b/>
              </w:rPr>
            </w:pPr>
            <w:r w:rsidRPr="006F58BB">
              <w:rPr>
                <w:rFonts w:cstheme="minorHAnsi"/>
              </w:rPr>
              <w:lastRenderedPageBreak/>
              <w:t>Eventuelle andre betalingsvilkår kan avtales i bilag 7.</w:t>
            </w:r>
          </w:p>
        </w:tc>
        <w:tc>
          <w:tcPr>
            <w:tcW w:w="4782" w:type="dxa"/>
          </w:tcPr>
          <w:p w14:paraId="5EB19960" w14:textId="266181E1" w:rsidR="009C7629" w:rsidRPr="002F2371" w:rsidRDefault="009C7629" w:rsidP="009C7629">
            <w:pPr>
              <w:rPr>
                <w:b/>
              </w:rPr>
            </w:pPr>
            <w:r w:rsidRPr="002F2371">
              <w:rPr>
                <w:b/>
              </w:rPr>
              <w:lastRenderedPageBreak/>
              <w:t>Punkt 3.2 Faktureringstidspunkt og betalingsbetingelser</w:t>
            </w:r>
            <w:r w:rsidR="00727B46">
              <w:rPr>
                <w:b/>
              </w:rPr>
              <w:t xml:space="preserve"> (oppdatert 08.05.2019)</w:t>
            </w:r>
          </w:p>
          <w:p w14:paraId="5451B8A3" w14:textId="77777777" w:rsidR="00280C19" w:rsidRDefault="00280C19" w:rsidP="009957BA">
            <w:pPr>
              <w:rPr>
                <w:b/>
              </w:rPr>
            </w:pPr>
          </w:p>
          <w:p w14:paraId="5E252D4A" w14:textId="77777777" w:rsidR="00571131" w:rsidRPr="006F58BB" w:rsidRDefault="00571131" w:rsidP="00571131">
            <w:pPr>
              <w:rPr>
                <w:rFonts w:cstheme="minorHAnsi"/>
              </w:rPr>
            </w:pPr>
            <w:r w:rsidRPr="006F58BB">
              <w:rPr>
                <w:rFonts w:cstheme="minorHAnsi"/>
              </w:rPr>
              <w:t xml:space="preserve">Vederlag for programvare og utstyr faktureres på det tidspunkt levering anses skjedd i henhold til punkt 2.1.5, med mindre annet </w:t>
            </w:r>
            <w:proofErr w:type="gramStart"/>
            <w:r w:rsidRPr="006F58BB">
              <w:rPr>
                <w:rFonts w:cstheme="minorHAnsi"/>
              </w:rPr>
              <w:t>fremkommer</w:t>
            </w:r>
            <w:proofErr w:type="gramEnd"/>
            <w:r w:rsidRPr="006F58BB">
              <w:rPr>
                <w:rFonts w:cstheme="minorHAnsi"/>
              </w:rPr>
              <w:t xml:space="preserve"> i bilag 7. Opplæring og annen bistand faktureres når ytelsene er utført, etterskuddsvis per måned. </w:t>
            </w:r>
          </w:p>
          <w:p w14:paraId="5347552F" w14:textId="77777777" w:rsidR="00571131" w:rsidRPr="006F58BB" w:rsidRDefault="00571131" w:rsidP="00571131">
            <w:pPr>
              <w:rPr>
                <w:rFonts w:cstheme="minorHAnsi"/>
              </w:rPr>
            </w:pPr>
          </w:p>
          <w:p w14:paraId="729BDC17" w14:textId="77777777" w:rsidR="00571131" w:rsidRPr="006F58BB" w:rsidRDefault="00571131" w:rsidP="00571131">
            <w:pPr>
              <w:rPr>
                <w:rFonts w:cstheme="minorHAnsi"/>
              </w:rPr>
            </w:pPr>
            <w:r w:rsidRPr="006F58BB">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7248AC07" w14:textId="77777777" w:rsidR="00571131" w:rsidRDefault="00571131" w:rsidP="009957BA">
            <w:pPr>
              <w:rPr>
                <w:b/>
              </w:rPr>
            </w:pPr>
          </w:p>
          <w:p w14:paraId="2382C8CA" w14:textId="77777777" w:rsidR="00F8179C" w:rsidRPr="004569C0" w:rsidRDefault="00F8179C" w:rsidP="00F8179C">
            <w:pPr>
              <w:rPr>
                <w:rFonts w:cstheme="minorHAnsi"/>
                <w:i/>
              </w:rPr>
            </w:pPr>
            <w:r w:rsidRPr="004569C0">
              <w:rPr>
                <w:rFonts w:cstheme="minorHAnsi"/>
                <w:i/>
              </w:rPr>
              <w:t>Det er et krav at leverandøren bruker elektronisk faktura i godkjent standard format i henhold til forskrift av 2. april 2019 om elektronisk faktura i offentlige anskaffelser.</w:t>
            </w:r>
          </w:p>
          <w:p w14:paraId="6B5DC5A5" w14:textId="77777777" w:rsidR="00F8179C" w:rsidRPr="004569C0" w:rsidRDefault="00F8179C" w:rsidP="00F8179C">
            <w:pPr>
              <w:rPr>
                <w:rFonts w:cstheme="minorHAnsi"/>
                <w:i/>
              </w:rPr>
            </w:pPr>
          </w:p>
          <w:p w14:paraId="07744A19" w14:textId="77777777" w:rsidR="00F8179C" w:rsidRPr="004569C0" w:rsidRDefault="00F8179C" w:rsidP="00F8179C">
            <w:pPr>
              <w:rPr>
                <w:rFonts w:cstheme="minorHAnsi"/>
                <w:i/>
              </w:rPr>
            </w:pPr>
            <w:r w:rsidRPr="004569C0">
              <w:rPr>
                <w:rFonts w:cstheme="minorHAnsi"/>
                <w:i/>
              </w:rPr>
              <w:t xml:space="preserve">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w:t>
            </w:r>
            <w:r w:rsidRPr="004569C0">
              <w:rPr>
                <w:rFonts w:cstheme="minorHAnsi"/>
                <w:i/>
              </w:rPr>
              <w:lastRenderedPageBreak/>
              <w:t>godkjent standardformat er levert.</w:t>
            </w:r>
          </w:p>
          <w:p w14:paraId="134B5E00" w14:textId="77777777" w:rsidR="00F8179C" w:rsidRPr="004569C0" w:rsidRDefault="00F8179C" w:rsidP="00F8179C">
            <w:pPr>
              <w:rPr>
                <w:rFonts w:cstheme="minorHAnsi"/>
                <w:i/>
              </w:rPr>
            </w:pPr>
          </w:p>
          <w:p w14:paraId="4D61F353" w14:textId="58E1DF5B" w:rsidR="00F8179C" w:rsidRPr="004569C0" w:rsidRDefault="00F8179C" w:rsidP="00F8179C">
            <w:pPr>
              <w:rPr>
                <w:rFonts w:cstheme="minorHAnsi"/>
                <w:i/>
              </w:rPr>
            </w:pPr>
            <w:r w:rsidRPr="004569C0">
              <w:rPr>
                <w:rFonts w:cstheme="minorHAnsi"/>
                <w: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6C42897C" w14:textId="4FA15BAC" w:rsidR="00C318E3" w:rsidRDefault="00C318E3" w:rsidP="00F8179C">
            <w:pPr>
              <w:rPr>
                <w:rFonts w:cstheme="minorHAnsi"/>
              </w:rPr>
            </w:pPr>
          </w:p>
          <w:p w14:paraId="402544CA" w14:textId="7F2B0CF7" w:rsidR="00C318E3" w:rsidRPr="006F58BB" w:rsidRDefault="00C318E3" w:rsidP="00C318E3">
            <w:pPr>
              <w:rPr>
                <w:rFonts w:cstheme="minorHAnsi"/>
              </w:rPr>
            </w:pPr>
            <w:r w:rsidRPr="006F58BB">
              <w:rPr>
                <w:rFonts w:cstheme="minorHAnsi"/>
              </w:rPr>
              <w:t xml:space="preserve">Øvrige betalingsvilkår </w:t>
            </w:r>
            <w:proofErr w:type="gramStart"/>
            <w:r w:rsidRPr="006F58BB">
              <w:rPr>
                <w:rFonts w:cstheme="minorHAnsi"/>
              </w:rPr>
              <w:t>fremgår</w:t>
            </w:r>
            <w:proofErr w:type="gramEnd"/>
            <w:r w:rsidRPr="006F58BB">
              <w:rPr>
                <w:rFonts w:cstheme="minorHAnsi"/>
              </w:rPr>
              <w:t xml:space="preserve"> av bilag 7.</w:t>
            </w:r>
          </w:p>
          <w:p w14:paraId="70CCC6A2" w14:textId="77777777" w:rsidR="00C318E3" w:rsidRPr="006F58BB" w:rsidRDefault="00C318E3" w:rsidP="00C318E3">
            <w:pPr>
              <w:rPr>
                <w:rFonts w:cstheme="minorHAnsi"/>
                <w:i/>
                <w:iCs/>
              </w:rPr>
            </w:pPr>
          </w:p>
          <w:p w14:paraId="7AED191A" w14:textId="77777777" w:rsidR="00C318E3" w:rsidRPr="006F58BB" w:rsidRDefault="00C318E3" w:rsidP="00C318E3">
            <w:pPr>
              <w:rPr>
                <w:rFonts w:cstheme="minorHAnsi"/>
              </w:rPr>
            </w:pPr>
            <w:r w:rsidRPr="006F58BB">
              <w:rPr>
                <w:rFonts w:cstheme="minorHAnsi"/>
              </w:rPr>
              <w:t>Leverandøren må selv bære eventuelle kostnader som levering av elektronisk faktura måtte medføre for denne.</w:t>
            </w:r>
          </w:p>
          <w:p w14:paraId="74E8FC25" w14:textId="77777777" w:rsidR="00C318E3" w:rsidRPr="006F58BB" w:rsidRDefault="00C318E3" w:rsidP="00C318E3">
            <w:pPr>
              <w:rPr>
                <w:rFonts w:cstheme="minorHAnsi"/>
              </w:rPr>
            </w:pPr>
          </w:p>
          <w:p w14:paraId="7C46B89C" w14:textId="291E0177" w:rsidR="00C318E3" w:rsidRDefault="00C318E3" w:rsidP="00C318E3">
            <w:r w:rsidRPr="006F58BB">
              <w:rPr>
                <w:rFonts w:cstheme="minorHAnsi"/>
              </w:rPr>
              <w:t>Eventuelle andre betalingsvilkår kan avtales i bilag 7.</w:t>
            </w:r>
          </w:p>
          <w:p w14:paraId="6CA6D9DD" w14:textId="02D9A2D6" w:rsidR="00F8179C" w:rsidRPr="00630DFE" w:rsidRDefault="00F8179C" w:rsidP="009957BA">
            <w:pPr>
              <w:rPr>
                <w:b/>
              </w:rPr>
            </w:pPr>
          </w:p>
        </w:tc>
      </w:tr>
    </w:tbl>
    <w:p w14:paraId="16273145" w14:textId="77777777" w:rsidR="00630DFE" w:rsidRPr="00371BFE" w:rsidRDefault="00630DFE" w:rsidP="00BF71D7">
      <w:bookmarkStart w:id="3" w:name="_GoBack"/>
      <w:bookmarkEnd w:id="3"/>
    </w:p>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46F8" w14:textId="77777777" w:rsidR="00624A47" w:rsidRDefault="00624A47" w:rsidP="00371BFE">
      <w:pPr>
        <w:spacing w:after="0" w:line="240" w:lineRule="auto"/>
      </w:pPr>
      <w:r>
        <w:separator/>
      </w:r>
    </w:p>
  </w:endnote>
  <w:endnote w:type="continuationSeparator" w:id="0">
    <w:p w14:paraId="23B479C6" w14:textId="77777777" w:rsidR="00624A47" w:rsidRDefault="00624A47" w:rsidP="0037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DBF03" w14:textId="77777777" w:rsidR="00624A47" w:rsidRDefault="00624A47" w:rsidP="00371BFE">
      <w:pPr>
        <w:spacing w:after="0" w:line="240" w:lineRule="auto"/>
      </w:pPr>
      <w:r>
        <w:separator/>
      </w:r>
    </w:p>
  </w:footnote>
  <w:footnote w:type="continuationSeparator" w:id="0">
    <w:p w14:paraId="412B9C11" w14:textId="77777777" w:rsidR="00624A47" w:rsidRDefault="00624A47" w:rsidP="0037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70BFE817"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8240"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1BFE">
      <w:t>SSA-</w:t>
    </w:r>
    <w:r w:rsidR="00E92B09">
      <w:t>K</w:t>
    </w:r>
    <w:r w:rsidR="00371BFE">
      <w:t xml:space="preserve">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3B08E90"/>
    <w:lvl w:ilvl="0">
      <w:start w:val="1"/>
      <w:numFmt w:val="decimal"/>
      <w:pStyle w:val="Avtaleoverskrift"/>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F70"/>
    <w:rsid w:val="000D119F"/>
    <w:rsid w:val="000E635D"/>
    <w:rsid w:val="00146831"/>
    <w:rsid w:val="001774DC"/>
    <w:rsid w:val="00192FB9"/>
    <w:rsid w:val="002448F9"/>
    <w:rsid w:val="00280C19"/>
    <w:rsid w:val="002810CF"/>
    <w:rsid w:val="002F2371"/>
    <w:rsid w:val="00306484"/>
    <w:rsid w:val="00313519"/>
    <w:rsid w:val="00353EAF"/>
    <w:rsid w:val="00367F96"/>
    <w:rsid w:val="00371BFE"/>
    <w:rsid w:val="003C58D5"/>
    <w:rsid w:val="004569C0"/>
    <w:rsid w:val="00481777"/>
    <w:rsid w:val="005063C1"/>
    <w:rsid w:val="00512DF8"/>
    <w:rsid w:val="00571131"/>
    <w:rsid w:val="00576C53"/>
    <w:rsid w:val="005F1A42"/>
    <w:rsid w:val="00624A47"/>
    <w:rsid w:val="00630DFE"/>
    <w:rsid w:val="00650E30"/>
    <w:rsid w:val="0070621E"/>
    <w:rsid w:val="007204F0"/>
    <w:rsid w:val="00727B46"/>
    <w:rsid w:val="007B28FF"/>
    <w:rsid w:val="007E6F70"/>
    <w:rsid w:val="0093034C"/>
    <w:rsid w:val="009957BA"/>
    <w:rsid w:val="009C7629"/>
    <w:rsid w:val="00A65EF7"/>
    <w:rsid w:val="00AB340F"/>
    <w:rsid w:val="00AF6398"/>
    <w:rsid w:val="00B72816"/>
    <w:rsid w:val="00B86AED"/>
    <w:rsid w:val="00BA2783"/>
    <w:rsid w:val="00BF3AB8"/>
    <w:rsid w:val="00BF71D7"/>
    <w:rsid w:val="00C318E3"/>
    <w:rsid w:val="00C44F2A"/>
    <w:rsid w:val="00CA246E"/>
    <w:rsid w:val="00D4617D"/>
    <w:rsid w:val="00D71355"/>
    <w:rsid w:val="00DE6965"/>
    <w:rsid w:val="00E627C5"/>
    <w:rsid w:val="00E92B09"/>
    <w:rsid w:val="00EA4DD9"/>
    <w:rsid w:val="00F34B84"/>
    <w:rsid w:val="00F817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 w:type="paragraph" w:customStyle="1" w:styleId="Avtaleoverskrift">
    <w:name w:val="Avtale overskrift"/>
    <w:basedOn w:val="Normal"/>
    <w:rsid w:val="002F2371"/>
    <w:pPr>
      <w:keepNext/>
      <w:keepLines/>
      <w:numPr>
        <w:numId w:val="3"/>
      </w:numPr>
      <w:spacing w:before="200" w:after="240" w:line="240" w:lineRule="auto"/>
      <w:ind w:hanging="851"/>
      <w:jc w:val="center"/>
      <w:outlineLvl w:val="0"/>
    </w:pPr>
    <w:rPr>
      <w:rFonts w:ascii="Arial" w:eastAsia="Times New Roman" w:hAnsi="Arial" w:cs="Arial"/>
      <w:b/>
      <w:bCs/>
      <w:caps/>
      <w:color w:val="0D162C"/>
      <w:kern w:val="28"/>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074444">
      <w:bodyDiv w:val="1"/>
      <w:marLeft w:val="0"/>
      <w:marRight w:val="0"/>
      <w:marTop w:val="0"/>
      <w:marBottom w:val="0"/>
      <w:divBdr>
        <w:top w:val="none" w:sz="0" w:space="0" w:color="auto"/>
        <w:left w:val="none" w:sz="0" w:space="0" w:color="auto"/>
        <w:bottom w:val="none" w:sz="0" w:space="0" w:color="auto"/>
        <w:right w:val="none" w:sz="0" w:space="0" w:color="auto"/>
      </w:divBdr>
    </w:div>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2979</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2</cp:revision>
  <dcterms:created xsi:type="dcterms:W3CDTF">2019-05-08T08:53:00Z</dcterms:created>
  <dcterms:modified xsi:type="dcterms:W3CDTF">2019-05-08T08:53:00Z</dcterms:modified>
</cp:coreProperties>
</file>