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DA882" w14:textId="1D40FCE2" w:rsidR="00151ACD" w:rsidRDefault="00D70434" w:rsidP="00371BFE"/>
    <w:p w14:paraId="61323674" w14:textId="0C8C3174" w:rsidR="00371BFE" w:rsidRDefault="00371BFE" w:rsidP="00371BFE">
      <w:r>
        <w:t xml:space="preserve">Dette er </w:t>
      </w:r>
      <w:proofErr w:type="spellStart"/>
      <w:r>
        <w:t>Difis</w:t>
      </w:r>
      <w:proofErr w:type="spellEnd"/>
      <w:r>
        <w:t xml:space="preserve"> endringslogg for SSA-O. Den inneholder endringer som er gjort fra 2015 versjonen til 2018 versjonen, samt løpende justeringer og presiseringer.</w:t>
      </w:r>
    </w:p>
    <w:p w14:paraId="7951D4AD" w14:textId="5358F120" w:rsidR="00630DFE" w:rsidRDefault="00630DFE" w:rsidP="00371BFE"/>
    <w:tbl>
      <w:tblPr>
        <w:tblStyle w:val="Tabellrutenett"/>
        <w:tblW w:w="9426" w:type="dxa"/>
        <w:tblLook w:val="04A0" w:firstRow="1" w:lastRow="0" w:firstColumn="1" w:lastColumn="0" w:noHBand="0" w:noVBand="1"/>
      </w:tblPr>
      <w:tblGrid>
        <w:gridCol w:w="2508"/>
        <w:gridCol w:w="2136"/>
        <w:gridCol w:w="4782"/>
      </w:tblGrid>
      <w:tr w:rsidR="00630DFE" w14:paraId="0C7AF39A" w14:textId="77777777" w:rsidTr="002A1B7E">
        <w:trPr>
          <w:trHeight w:val="794"/>
        </w:trPr>
        <w:tc>
          <w:tcPr>
            <w:tcW w:w="2508" w:type="dxa"/>
            <w:shd w:val="clear" w:color="auto" w:fill="8EAADB" w:themeFill="accent1" w:themeFillTint="99"/>
          </w:tcPr>
          <w:p w14:paraId="57684D9F" w14:textId="4B7163B2" w:rsidR="00630DFE" w:rsidRDefault="00630DFE" w:rsidP="00630DFE">
            <w:pPr>
              <w:rPr>
                <w:b/>
              </w:rPr>
            </w:pPr>
            <w:r>
              <w:rPr>
                <w:b/>
              </w:rPr>
              <w:t>SSA-O 2015 Punkt/overskrift</w:t>
            </w:r>
          </w:p>
          <w:p w14:paraId="5BAE2CC1" w14:textId="77777777" w:rsidR="00630DFE" w:rsidRPr="00E627C5" w:rsidRDefault="00630DFE" w:rsidP="001B0399">
            <w:pPr>
              <w:rPr>
                <w:b/>
              </w:rPr>
            </w:pPr>
          </w:p>
        </w:tc>
        <w:tc>
          <w:tcPr>
            <w:tcW w:w="6918" w:type="dxa"/>
            <w:gridSpan w:val="2"/>
            <w:shd w:val="clear" w:color="auto" w:fill="8EAADB" w:themeFill="accent1" w:themeFillTint="99"/>
          </w:tcPr>
          <w:p w14:paraId="14794C90" w14:textId="6F2D9C6E" w:rsidR="00630DFE" w:rsidRPr="00E627C5" w:rsidRDefault="00630DFE" w:rsidP="001B0399">
            <w:pPr>
              <w:rPr>
                <w:b/>
              </w:rPr>
            </w:pPr>
            <w:r>
              <w:rPr>
                <w:b/>
              </w:rPr>
              <w:t>SSA-O 2018 Punkt/Overskrift</w:t>
            </w:r>
          </w:p>
        </w:tc>
      </w:tr>
      <w:tr w:rsidR="00630DFE" w14:paraId="06599C39" w14:textId="77777777" w:rsidTr="002A1B7E">
        <w:trPr>
          <w:trHeight w:val="9977"/>
        </w:trPr>
        <w:tc>
          <w:tcPr>
            <w:tcW w:w="2508" w:type="dxa"/>
          </w:tcPr>
          <w:p w14:paraId="263CCF68" w14:textId="7CE66C33" w:rsidR="00630DFE" w:rsidRPr="00E627C5" w:rsidRDefault="00630DFE" w:rsidP="001B0399">
            <w:pPr>
              <w:rPr>
                <w:i/>
              </w:rPr>
            </w:pPr>
            <w:r w:rsidRPr="00630DFE">
              <w:rPr>
                <w:b/>
              </w:rPr>
              <w:t>Punkt 3. Konsulentens plikter (Ny tekst i 2018-versjonen)</w:t>
            </w:r>
          </w:p>
        </w:tc>
        <w:tc>
          <w:tcPr>
            <w:tcW w:w="6918" w:type="dxa"/>
            <w:gridSpan w:val="2"/>
          </w:tcPr>
          <w:p w14:paraId="2077CC4B" w14:textId="3AF8AF3F" w:rsidR="00630DFE" w:rsidRDefault="00630DFE" w:rsidP="001B0399">
            <w:pPr>
              <w:pStyle w:val="Overskrift2"/>
              <w:numPr>
                <w:ilvl w:val="1"/>
                <w:numId w:val="2"/>
              </w:numPr>
              <w:ind w:hanging="851"/>
              <w:outlineLvl w:val="1"/>
            </w:pPr>
            <w:bookmarkStart w:id="0" w:name="_Toc507581776"/>
            <w:bookmarkStart w:id="1" w:name="_Toc511651104"/>
            <w:r w:rsidRPr="00630DFE">
              <w:t>Punkt 3. Konsulentens plikter</w:t>
            </w:r>
          </w:p>
          <w:p w14:paraId="07200F79" w14:textId="39405FBC" w:rsidR="00630DFE" w:rsidRDefault="00B72816" w:rsidP="001B0399">
            <w:pPr>
              <w:pStyle w:val="Overskrift2"/>
              <w:numPr>
                <w:ilvl w:val="1"/>
                <w:numId w:val="2"/>
              </w:numPr>
              <w:ind w:hanging="851"/>
              <w:outlineLvl w:val="1"/>
            </w:pPr>
            <w:r>
              <w:t xml:space="preserve">3.6 </w:t>
            </w:r>
            <w:r w:rsidR="00630DFE">
              <w:t>Informasjonssikkerhet</w:t>
            </w:r>
            <w:bookmarkEnd w:id="0"/>
            <w:bookmarkEnd w:id="1"/>
            <w:r w:rsidR="00630DFE">
              <w:t xml:space="preserve"> </w:t>
            </w:r>
          </w:p>
          <w:p w14:paraId="73FE5445" w14:textId="77777777" w:rsidR="00630DFE" w:rsidRDefault="00630DFE" w:rsidP="001B0399">
            <w:r>
              <w:t>Konsulenten skal iverksette forholdsmessige tiltak for å ivareta krav til informasjonssikkerhet i forbindelse med gjennomføring av Oppdraget.</w:t>
            </w:r>
          </w:p>
          <w:p w14:paraId="7EF3C78F" w14:textId="77777777" w:rsidR="00630DFE" w:rsidRDefault="00630DFE" w:rsidP="001B0399">
            <w:r>
              <w:t>Dette innebærer at Konsulenten skal iverksette forholdsmessige tiltak for å sikre konfidensialitet av Kundens data samt tiltak for å sikre at data ikke kommer på avveie. Videre skal Konsulenten iverksette forholdsmessige tiltak mot utilsiktet endring og sletting av data samt mot angrep av virus og annen skadevoldende programvare.</w:t>
            </w:r>
          </w:p>
          <w:p w14:paraId="693BB9C0" w14:textId="77777777" w:rsidR="00630DFE" w:rsidRDefault="00630DFE" w:rsidP="001B0399"/>
          <w:p w14:paraId="3351DDE2" w14:textId="77777777" w:rsidR="00630DFE" w:rsidRDefault="00630DFE" w:rsidP="001B0399">
            <w:r>
              <w:t>Dersom Kunden har nærmere krav til hvorledes informasjonssikkerheten skal ivaretas fra Konsulenten side, skal Kunden angi dette i bilag 1.</w:t>
            </w:r>
          </w:p>
          <w:p w14:paraId="66B9E67D" w14:textId="77777777" w:rsidR="00630DFE" w:rsidRDefault="00630DFE" w:rsidP="001B0399"/>
          <w:p w14:paraId="04CC3CE1" w14:textId="77777777" w:rsidR="00630DFE" w:rsidRDefault="00630DFE" w:rsidP="001B0399">
            <w:r>
              <w:t>Konsulenten plikter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Konsulenten eller andre som ikke har behov for informasjonen i sitt arbeid for Kunden.</w:t>
            </w:r>
          </w:p>
          <w:p w14:paraId="2A4833B2" w14:textId="77777777" w:rsidR="00630DFE" w:rsidRDefault="00630DFE" w:rsidP="001B0399"/>
          <w:p w14:paraId="2EF3F0BB" w14:textId="77777777" w:rsidR="00630DFE" w:rsidRDefault="00630DFE" w:rsidP="001B0399">
            <w:r>
              <w:t>Dersom Kunden har nærmere krav til hvorledes Konsulenten skal ivareta kravet til atskillelses av data, skal Kunden angi dette i bilag 1.</w:t>
            </w:r>
          </w:p>
          <w:p w14:paraId="5F671132" w14:textId="77777777" w:rsidR="00630DFE" w:rsidRDefault="00630DFE" w:rsidP="001B0399"/>
          <w:p w14:paraId="100B8E26" w14:textId="77777777" w:rsidR="00630DFE" w:rsidRDefault="00630DFE" w:rsidP="001B0399">
            <w:r>
              <w:t xml:space="preserve">Konsulenten skal påse at leverandører av tredjepartsleveranser foretar tilstrekkelig og nødvendig sikring av Kundens data. </w:t>
            </w:r>
          </w:p>
          <w:p w14:paraId="2658F942" w14:textId="77777777" w:rsidR="00630DFE" w:rsidRDefault="00630DFE" w:rsidP="001B0399"/>
          <w:p w14:paraId="3E5F2E52" w14:textId="77777777" w:rsidR="00630DFE" w:rsidRDefault="00630DFE" w:rsidP="001B0399">
            <w:r>
              <w:t>Dersom Kunden har nærmere krav til hvorledes Konsulenten skal påse at leverandør(er) av tredjepartsleveranser foretar tilstrekkelig og nødvendig sikring av Kundens data, skal Kunden angi dette i bilag 1.</w:t>
            </w:r>
          </w:p>
          <w:p w14:paraId="6480D55B" w14:textId="77777777" w:rsidR="00630DFE" w:rsidRDefault="00630DFE" w:rsidP="001B0399"/>
          <w:p w14:paraId="3D85EE88" w14:textId="09895F1D" w:rsidR="00630DFE" w:rsidRDefault="00B72816" w:rsidP="001B0399">
            <w:pPr>
              <w:pStyle w:val="Overskrift2"/>
              <w:numPr>
                <w:ilvl w:val="1"/>
                <w:numId w:val="2"/>
              </w:numPr>
              <w:ind w:hanging="851"/>
              <w:outlineLvl w:val="1"/>
            </w:pPr>
            <w:bookmarkStart w:id="2" w:name="_Toc507581777"/>
            <w:bookmarkStart w:id="3" w:name="_Toc511651105"/>
            <w:r>
              <w:t xml:space="preserve">3.7 </w:t>
            </w:r>
            <w:r w:rsidR="00630DFE">
              <w:t>Personopplysninger</w:t>
            </w:r>
            <w:bookmarkEnd w:id="2"/>
            <w:bookmarkEnd w:id="3"/>
          </w:p>
          <w:p w14:paraId="561CB584" w14:textId="77777777" w:rsidR="00630DFE" w:rsidRDefault="00630DFE" w:rsidP="001B0399">
            <w:pPr>
              <w:rPr>
                <w:rFonts w:cs="Arial"/>
              </w:rPr>
            </w:pPr>
            <w:r>
              <w:rPr>
                <w:rFonts w:cs="Arial"/>
              </w:rPr>
              <w:t xml:space="preserve">Dersom Konsulenten ved utførelsen av Oppdraget skal behandle personopplysninger, skal Konsulenten i bilag 2 beskrive hvordan tilfredsstillende behandling i tråd med personopplysningsregelverket skal oppnås og gjennomføres. Dette omfatter blant annet krav til innebygget personvern. Dette gjelder uavhengig av om Kunden har stilt krav om dette i bilag 1. </w:t>
            </w:r>
          </w:p>
          <w:p w14:paraId="266C6830" w14:textId="77777777" w:rsidR="00630DFE" w:rsidRDefault="00630DFE" w:rsidP="001B0399">
            <w:pPr>
              <w:rPr>
                <w:rFonts w:cs="Arial"/>
              </w:rPr>
            </w:pPr>
          </w:p>
          <w:p w14:paraId="27E5CE1C" w14:textId="77777777" w:rsidR="00630DFE" w:rsidRDefault="00630DFE" w:rsidP="001B0399">
            <w:pPr>
              <w:rPr>
                <w:rFonts w:cs="Arial"/>
              </w:rPr>
            </w:pPr>
            <w:r>
              <w:rPr>
                <w:rFonts w:cs="Arial"/>
              </w:rPr>
              <w:t xml:space="preserve">Dersom Kunden har nærmere krav knyttet til Konsulentens </w:t>
            </w:r>
            <w:r>
              <w:rPr>
                <w:rFonts w:cs="Arial"/>
              </w:rPr>
              <w:lastRenderedPageBreak/>
              <w:t>informasjonssikkerhetstiltak, skal Kunden angi dette i bilag 1.</w:t>
            </w:r>
          </w:p>
          <w:p w14:paraId="3620C564" w14:textId="77777777" w:rsidR="00630DFE" w:rsidRDefault="00630DFE" w:rsidP="001B0399">
            <w:pPr>
              <w:rPr>
                <w:rFonts w:cs="Arial"/>
              </w:rPr>
            </w:pPr>
          </w:p>
          <w:p w14:paraId="2241502B" w14:textId="77777777" w:rsidR="00630DFE" w:rsidRDefault="00630DFE" w:rsidP="001B0399">
            <w:pPr>
              <w:rPr>
                <w:rFonts w:cs="Arial"/>
              </w:rPr>
            </w:pPr>
            <w:r>
              <w:rPr>
                <w:rFonts w:cs="Arial"/>
              </w:rPr>
              <w:t xml:space="preserve">Dokumentasjon vedrørende informasjonssystemet og sikkerhetstiltakene er tilfredsstillende skal på forespørsel være tilgjengelig for Kunden og dennes revisorer, samt for Datatilsynet og Personvernnemnda. Dersom Kunden har nærmere dokumentasjonskrav knyttet til informasjonssystemet og sikkerhetstiltakene, skal Kunden angi dette i bilag 1. Dersom Kunden ber om informasjon for å gjennomføre vurdering av personvernkonsekvenser («Data </w:t>
            </w:r>
            <w:proofErr w:type="spellStart"/>
            <w:r>
              <w:rPr>
                <w:rFonts w:cs="Arial"/>
              </w:rPr>
              <w:t>Protection</w:t>
            </w:r>
            <w:proofErr w:type="spellEnd"/>
            <w:r>
              <w:rPr>
                <w:rFonts w:cs="Arial"/>
              </w:rPr>
              <w:t xml:space="preserve"> </w:t>
            </w:r>
            <w:proofErr w:type="spellStart"/>
            <w:r>
              <w:rPr>
                <w:rFonts w:cs="Arial"/>
              </w:rPr>
              <w:t>Impact</w:t>
            </w:r>
            <w:proofErr w:type="spellEnd"/>
            <w:r>
              <w:rPr>
                <w:rFonts w:cs="Arial"/>
              </w:rPr>
              <w:t xml:space="preserve"> </w:t>
            </w:r>
            <w:proofErr w:type="spellStart"/>
            <w:r>
              <w:rPr>
                <w:rFonts w:cs="Arial"/>
              </w:rPr>
              <w:t>Assessments</w:t>
            </w:r>
            <w:proofErr w:type="spellEnd"/>
            <w:r>
              <w:rPr>
                <w:rFonts w:cs="Arial"/>
              </w:rPr>
              <w:t>»), skal Konsulenten bistå med å fremskaffe slik informasjon.</w:t>
            </w:r>
          </w:p>
          <w:p w14:paraId="3EAD35FF" w14:textId="77777777" w:rsidR="00630DFE" w:rsidRDefault="00630DFE" w:rsidP="001B0399">
            <w:pPr>
              <w:rPr>
                <w:rFonts w:cs="Arial"/>
              </w:rPr>
            </w:pPr>
          </w:p>
          <w:p w14:paraId="15FD5034" w14:textId="77777777" w:rsidR="00630DFE" w:rsidRDefault="00630DFE" w:rsidP="001B0399">
            <w:pPr>
              <w:rPr>
                <w:rFonts w:cs="Arial"/>
              </w:rPr>
            </w:pPr>
            <w:r>
              <w:rPr>
                <w:rFonts w:cs="Arial"/>
              </w:rPr>
              <w:t>Konsulenten kan ikke overlate personopplysninger til andre for lagring, bearbeidelse eller sletting uten at det på forhånd er innhentet særlig eller generell skriftlig tillatelse til dette fra Kunden. Konsulenten skal sørge for at eventuelle underleverandører Konsulenten benytter, og som behandler personopplysninger, påtar seg tilsvarende forpliktelser som i avtalens punkt 6.2. Dersom det er innhentet særlig eller generell skriftlig tillatelse, skal Konsulenten underrette Kunden om eventuelle planer om å benytte andre databehandlere eller utskifting av databehandlere, og dermed gi Kunden muligheten til å motsette seg slike endringer. Underleverandører som er godkjent av Kunden skal fremgå av bilag 5.</w:t>
            </w:r>
          </w:p>
          <w:p w14:paraId="31FAA931" w14:textId="77777777" w:rsidR="00630DFE" w:rsidRDefault="00630DFE" w:rsidP="001B0399">
            <w:pPr>
              <w:rPr>
                <w:rFonts w:cs="Arial"/>
              </w:rPr>
            </w:pPr>
          </w:p>
          <w:p w14:paraId="78398F85" w14:textId="77777777" w:rsidR="00630DFE" w:rsidRDefault="00630DFE" w:rsidP="001B0399">
            <w:pPr>
              <w:rPr>
                <w:rFonts w:cs="Arial"/>
              </w:rPr>
            </w:pPr>
            <w:r>
              <w:rPr>
                <w:rFonts w:cs="Arial"/>
              </w:rPr>
              <w:t>Personopplysninger skal ikke overføres til land utenfor EØS-området uten overføringsgrunnlag og dokumentasjon som påviser at vilkårene for å benytte overføringsgrunnlaget er oppfylt. Konsulenten skal i et slikt tilfelle dokumentere dette i bilag 2.</w:t>
            </w:r>
          </w:p>
          <w:p w14:paraId="5343CF89" w14:textId="77777777" w:rsidR="00630DFE" w:rsidRDefault="00630DFE" w:rsidP="001B0399">
            <w:pPr>
              <w:rPr>
                <w:rFonts w:cs="Arial"/>
              </w:rPr>
            </w:pPr>
          </w:p>
          <w:p w14:paraId="6B7D9C19" w14:textId="77777777" w:rsidR="00630DFE" w:rsidRDefault="00630DFE" w:rsidP="001B0399">
            <w:pPr>
              <w:rPr>
                <w:rFonts w:cs="Arial"/>
              </w:rPr>
            </w:pPr>
            <w:r>
              <w:rPr>
                <w:rFonts w:cs="Arial"/>
              </w:rPr>
              <w:t xml:space="preserve">Dersom oppdraget går ut på å behandle personopplysninger på vegne av Kunden, plikter Kunden og Konsulenten å inngå en databehandleravtale i samsvar med personopplysningslovgivningen. Dersom Kunden ikke har utarbeidet et utkast til databehandleravtale, skal Konsulenten legge ved et utkast som vedlegg til bilag 2. Databehandleravtale må være inngått før behandlingen av personopplysninger påbegynnes. </w:t>
            </w:r>
          </w:p>
          <w:p w14:paraId="4CDA6969" w14:textId="77777777" w:rsidR="00630DFE" w:rsidRDefault="00630DFE" w:rsidP="001B0399">
            <w:pPr>
              <w:rPr>
                <w:rFonts w:cs="Arial"/>
              </w:rPr>
            </w:pPr>
          </w:p>
          <w:p w14:paraId="720AC492" w14:textId="77777777" w:rsidR="00630DFE" w:rsidRDefault="00630DFE" w:rsidP="001B0399">
            <w:pPr>
              <w:rPr>
                <w:rFonts w:cs="Arial"/>
              </w:rPr>
            </w:pPr>
            <w:r>
              <w:rPr>
                <w:rFonts w:cs="Arial"/>
              </w:rPr>
              <w:t>Dersom partene har inngått en databehandleravtale, har databehandleravtalen forrang ved eventuell motstrid med avtalens bestemmelser knyttet til behandling av personopplysninger.</w:t>
            </w:r>
          </w:p>
          <w:p w14:paraId="222416AB" w14:textId="77777777" w:rsidR="00630DFE" w:rsidRDefault="00630DFE" w:rsidP="001B0399">
            <w:pPr>
              <w:rPr>
                <w:rFonts w:cs="Times New Roman"/>
              </w:rPr>
            </w:pPr>
          </w:p>
          <w:p w14:paraId="5D865AE3" w14:textId="77777777" w:rsidR="00630DFE" w:rsidRDefault="00630DFE" w:rsidP="001B0399"/>
        </w:tc>
      </w:tr>
      <w:tr w:rsidR="00630DFE" w14:paraId="5EC76357" w14:textId="77777777" w:rsidTr="002A1B7E">
        <w:trPr>
          <w:trHeight w:val="699"/>
        </w:trPr>
        <w:tc>
          <w:tcPr>
            <w:tcW w:w="2508" w:type="dxa"/>
          </w:tcPr>
          <w:p w14:paraId="1AF3AA3E" w14:textId="77777777" w:rsidR="00630DFE" w:rsidRDefault="00BF71D7" w:rsidP="001B0399">
            <w:r>
              <w:lastRenderedPageBreak/>
              <w:t xml:space="preserve">Nytt avsnitt, november 2018. </w:t>
            </w:r>
          </w:p>
          <w:p w14:paraId="7DED74ED" w14:textId="77777777" w:rsidR="001774DC" w:rsidRDefault="001774DC" w:rsidP="001B0399"/>
          <w:p w14:paraId="03807301" w14:textId="77777777" w:rsidR="00AB340F" w:rsidRDefault="00AB340F" w:rsidP="001B0399">
            <w:r>
              <w:t xml:space="preserve">Det nye avsnitt er et resultat av gjennomføringen av personvernforordningen </w:t>
            </w:r>
            <w:r w:rsidR="000E635D">
              <w:t>i norsk rett.</w:t>
            </w:r>
          </w:p>
          <w:p w14:paraId="1F9E34BC" w14:textId="22C0C0FF" w:rsidR="00367F96" w:rsidRDefault="00367F96" w:rsidP="001B0399">
            <w:r>
              <w:t>Avsnittet er en presisering av at personvernforordningens regulering kommer til anvende</w:t>
            </w:r>
            <w:r w:rsidR="005063C1">
              <w:t xml:space="preserve">lse ved </w:t>
            </w:r>
            <w:r w:rsidR="005063C1">
              <w:lastRenderedPageBreak/>
              <w:t>erstatning som følge av brudd på forordningen</w:t>
            </w:r>
            <w:r w:rsidR="003C58D5">
              <w:t>.</w:t>
            </w:r>
          </w:p>
        </w:tc>
        <w:tc>
          <w:tcPr>
            <w:tcW w:w="6918" w:type="dxa"/>
            <w:gridSpan w:val="2"/>
          </w:tcPr>
          <w:p w14:paraId="2305970D" w14:textId="68A8C017" w:rsidR="00AF6398" w:rsidRPr="00AF6398" w:rsidRDefault="00AF6398" w:rsidP="00AF6398">
            <w:r>
              <w:lastRenderedPageBreak/>
              <w:t xml:space="preserve">3.7 Personopplysninger </w:t>
            </w:r>
            <w:r w:rsidRPr="00AF6398">
              <w:t>(Nytt avsnitt til 3.7)</w:t>
            </w:r>
          </w:p>
          <w:p w14:paraId="2CDE2047" w14:textId="77777777" w:rsidR="00AF6398" w:rsidRPr="00AF6398" w:rsidRDefault="00AF6398" w:rsidP="00AF6398"/>
          <w:p w14:paraId="5AAD3C87" w14:textId="7F1E0285" w:rsidR="00AF6398" w:rsidRPr="00AF6398" w:rsidRDefault="00AF6398" w:rsidP="00AF6398">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42F7F736" w14:textId="23DDA53C" w:rsidR="00AF6398" w:rsidRDefault="00AF6398" w:rsidP="00AF6398">
            <w:r>
              <w:t xml:space="preserve">Erstatningsbegrensningen i punkt 8.5.6 kommer ikke til anvendelse for ansvar som følger av personvernforordningen artikkel 82. </w:t>
            </w:r>
          </w:p>
          <w:p w14:paraId="3DD3A93C" w14:textId="77777777" w:rsidR="00AF6398" w:rsidRDefault="00AF6398" w:rsidP="00AF6398"/>
          <w:p w14:paraId="7728440B" w14:textId="24DC21A5" w:rsidR="00630DFE" w:rsidRDefault="00AF6398" w:rsidP="00BF71D7">
            <w:r>
              <w:t xml:space="preserve">Partene er hver for seg ansvarlige for overtredelsesgebyr ilagt i </w:t>
            </w:r>
            <w:r w:rsidR="005E094D">
              <w:t>henhold til</w:t>
            </w:r>
            <w:r>
              <w:t xml:space="preserve"> personvernforordningens art. 83.</w:t>
            </w:r>
          </w:p>
        </w:tc>
      </w:tr>
      <w:tr w:rsidR="003F3B5A" w14:paraId="7C56B324" w14:textId="77777777" w:rsidTr="002A1B7E">
        <w:trPr>
          <w:trHeight w:val="2976"/>
        </w:trPr>
        <w:tc>
          <w:tcPr>
            <w:tcW w:w="2508" w:type="dxa"/>
          </w:tcPr>
          <w:p w14:paraId="438C1016" w14:textId="75184ECA" w:rsidR="003F3B5A" w:rsidRDefault="004B5B2D" w:rsidP="00C22D3C">
            <w:pPr>
              <w:rPr>
                <w:b/>
              </w:rPr>
            </w:pPr>
            <w:r>
              <w:rPr>
                <w:b/>
              </w:rPr>
              <w:t>7. Opphavs- og eiendomsrett</w:t>
            </w:r>
          </w:p>
          <w:p w14:paraId="6F51EB6A" w14:textId="77777777" w:rsidR="003F3B5A" w:rsidRDefault="003F3B5A" w:rsidP="00C22D3C">
            <w:pPr>
              <w:rPr>
                <w:b/>
              </w:rPr>
            </w:pPr>
          </w:p>
          <w:p w14:paraId="34C13007" w14:textId="77777777" w:rsidR="003F3B5A" w:rsidRPr="00B815D1" w:rsidRDefault="003F3B5A" w:rsidP="00C22D3C">
            <w:pPr>
              <w:rPr>
                <w:b/>
              </w:rPr>
            </w:pPr>
            <w:r w:rsidRPr="00594049">
              <w:t>Rettighetene omfatter også rett til endring og videreoverdragelse, jf. lov 12. mai 1961 nr. 2 om opphavsrett til åndsverk mv. (åndsverkloven) § 39b</w:t>
            </w:r>
            <w:r w:rsidRPr="001870BE">
              <w:rPr>
                <w:i/>
              </w:rPr>
              <w:t>.</w:t>
            </w:r>
          </w:p>
        </w:tc>
        <w:tc>
          <w:tcPr>
            <w:tcW w:w="6918" w:type="dxa"/>
            <w:gridSpan w:val="2"/>
          </w:tcPr>
          <w:p w14:paraId="5D686DF4" w14:textId="41B0A246" w:rsidR="004B5B2D" w:rsidRDefault="004B5B2D" w:rsidP="004B5B2D">
            <w:pPr>
              <w:rPr>
                <w:b/>
              </w:rPr>
            </w:pPr>
            <w:r>
              <w:rPr>
                <w:b/>
              </w:rPr>
              <w:t>7. Opphavs- og eiendomsrett</w:t>
            </w:r>
          </w:p>
          <w:p w14:paraId="5AF7C472" w14:textId="77777777" w:rsidR="003F3B5A" w:rsidRDefault="003F3B5A" w:rsidP="00C22D3C">
            <w:pPr>
              <w:rPr>
                <w:b/>
              </w:rPr>
            </w:pPr>
          </w:p>
          <w:p w14:paraId="6E382E57" w14:textId="77777777" w:rsidR="003F3B5A" w:rsidRDefault="003F3B5A" w:rsidP="00C22D3C">
            <w:pPr>
              <w:rPr>
                <w:b/>
              </w:rPr>
            </w:pPr>
            <w:r w:rsidRPr="00594049">
              <w:t>Rettighetene omfatter også rett til endring og videreoverdragelse, jf.  </w:t>
            </w:r>
            <w:r w:rsidRPr="00594049">
              <w:rPr>
                <w:i/>
              </w:rPr>
              <w:t>lov av 15. juni 2018 nr. 40</w:t>
            </w:r>
            <w:r w:rsidRPr="00594049">
              <w:t xml:space="preserve"> om opphavsrett til åndsverk mv. (åndsverkloven) § </w:t>
            </w:r>
            <w:r w:rsidRPr="00594049">
              <w:rPr>
                <w:i/>
              </w:rPr>
              <w:t>68.</w:t>
            </w:r>
            <w:r w:rsidRPr="00594049">
              <w:t xml:space="preserve"> </w:t>
            </w:r>
          </w:p>
        </w:tc>
      </w:tr>
      <w:tr w:rsidR="002A1B7E" w14:paraId="62ADD4F6" w14:textId="77777777" w:rsidTr="00871524">
        <w:trPr>
          <w:trHeight w:val="690"/>
        </w:trPr>
        <w:tc>
          <w:tcPr>
            <w:tcW w:w="4644" w:type="dxa"/>
            <w:gridSpan w:val="2"/>
            <w:shd w:val="clear" w:color="auto" w:fill="8EAADB" w:themeFill="accent1" w:themeFillTint="99"/>
          </w:tcPr>
          <w:p w14:paraId="012955E9" w14:textId="3FCDA536" w:rsidR="002A1B7E" w:rsidRDefault="002B1BCE" w:rsidP="00C22D3C">
            <w:pPr>
              <w:rPr>
                <w:b/>
              </w:rPr>
            </w:pPr>
            <w:r>
              <w:rPr>
                <w:b/>
              </w:rPr>
              <w:t>SSA-O 2018 Punkt/overskrift</w:t>
            </w:r>
          </w:p>
        </w:tc>
        <w:tc>
          <w:tcPr>
            <w:tcW w:w="4782" w:type="dxa"/>
            <w:shd w:val="clear" w:color="auto" w:fill="8EAADB" w:themeFill="accent1" w:themeFillTint="99"/>
          </w:tcPr>
          <w:p w14:paraId="29D16F76" w14:textId="5AEFAE41" w:rsidR="002A1B7E" w:rsidRDefault="002B1BCE" w:rsidP="004B5B2D">
            <w:pPr>
              <w:rPr>
                <w:b/>
              </w:rPr>
            </w:pPr>
            <w:r>
              <w:rPr>
                <w:b/>
              </w:rPr>
              <w:t xml:space="preserve">SSA-O 2918 </w:t>
            </w:r>
            <w:r w:rsidR="00D02804">
              <w:rPr>
                <w:b/>
              </w:rPr>
              <w:t>Oppdateringer Punkt og overskrift</w:t>
            </w:r>
          </w:p>
        </w:tc>
      </w:tr>
      <w:tr w:rsidR="002A1B7E" w14:paraId="51AB58CE" w14:textId="77777777" w:rsidTr="00871524">
        <w:trPr>
          <w:trHeight w:val="690"/>
        </w:trPr>
        <w:tc>
          <w:tcPr>
            <w:tcW w:w="4644" w:type="dxa"/>
            <w:gridSpan w:val="2"/>
          </w:tcPr>
          <w:p w14:paraId="631BD34B" w14:textId="77777777" w:rsidR="002A1B7E" w:rsidRDefault="00D02804" w:rsidP="00C22D3C">
            <w:pPr>
              <w:rPr>
                <w:b/>
              </w:rPr>
            </w:pPr>
            <w:r>
              <w:rPr>
                <w:b/>
              </w:rPr>
              <w:t>6.2 Fakturering</w:t>
            </w:r>
          </w:p>
          <w:p w14:paraId="5312F309" w14:textId="77777777" w:rsidR="00FD2CE4" w:rsidRDefault="00FD2CE4" w:rsidP="00C22D3C">
            <w:pPr>
              <w:rPr>
                <w:b/>
              </w:rPr>
            </w:pPr>
          </w:p>
          <w:p w14:paraId="1902910A" w14:textId="77777777" w:rsidR="00FD2CE4" w:rsidRPr="001C7278" w:rsidRDefault="00FD2CE4" w:rsidP="00FD2CE4">
            <w:pPr>
              <w:rPr>
                <w:rFonts w:cstheme="minorHAnsi"/>
              </w:rPr>
            </w:pPr>
            <w:r w:rsidRPr="001C7278">
              <w:rPr>
                <w:rFonts w:cstheme="minorHAnsi"/>
              </w:rPr>
              <w:t xml:space="preserve">Vederlag og utlegg skal faktureres til de tider som </w:t>
            </w:r>
            <w:proofErr w:type="gramStart"/>
            <w:r w:rsidRPr="001C7278">
              <w:rPr>
                <w:rFonts w:cstheme="minorHAnsi"/>
              </w:rPr>
              <w:t>fremgår</w:t>
            </w:r>
            <w:proofErr w:type="gramEnd"/>
            <w:r w:rsidRPr="001C7278">
              <w:rPr>
                <w:rFonts w:cstheme="minorHAnsi"/>
              </w:rPr>
              <w:t xml:space="preserve"> av bilag 5. Vederlag basert på løpende timer faktureres etterskuddsvis pr. måned hvis ikke annet er avtalt i bilag 5. I så fall skal fakturert beløp gjelde den tid som er medgått frem til faktureringstidspunktet, samt eventuell dekning av utgifter påløpt i samme tidsrom.</w:t>
            </w:r>
          </w:p>
          <w:p w14:paraId="1282EE46" w14:textId="77777777" w:rsidR="00FD2CE4" w:rsidRPr="001C7278" w:rsidRDefault="00FD2CE4" w:rsidP="00FD2CE4">
            <w:pPr>
              <w:rPr>
                <w:rFonts w:cstheme="minorHAnsi"/>
              </w:rPr>
            </w:pPr>
          </w:p>
          <w:p w14:paraId="43FBAB67" w14:textId="77777777" w:rsidR="00FD2CE4" w:rsidRPr="001C7278" w:rsidRDefault="00FD2CE4" w:rsidP="00FD2CE4">
            <w:pPr>
              <w:rPr>
                <w:rFonts w:cstheme="minorHAnsi"/>
              </w:rPr>
            </w:pPr>
            <w:r w:rsidRPr="001C7278">
              <w:rPr>
                <w:rFonts w:cstheme="minorHAnsi"/>
                <w:color w:val="000000"/>
              </w:rPr>
              <w:t>Betaling skal skje etter faktura per 30 (tretti) kalenderdager.</w:t>
            </w:r>
            <w:r w:rsidRPr="001C7278">
              <w:rPr>
                <w:rFonts w:cstheme="minorHAnsi"/>
              </w:rPr>
              <w:t xml:space="preserve"> Konsulentens fakturaer skal spesifiseres og dokumenteres slik at Kunden enkelt kan kontrollere fakturaen i forhold til det avtalte vederlag. Alle fakturaer for løpende timer skal være vedlagt detaljert spesifikasjon over påløpte timer. Utlegg skal angis særskilt. </w:t>
            </w:r>
          </w:p>
          <w:p w14:paraId="28EB5C32" w14:textId="77777777" w:rsidR="00FD2CE4" w:rsidRPr="001C7278" w:rsidRDefault="00FD2CE4" w:rsidP="00FD2CE4">
            <w:pPr>
              <w:rPr>
                <w:rFonts w:cstheme="minorHAnsi"/>
              </w:rPr>
            </w:pPr>
          </w:p>
          <w:p w14:paraId="683CB278" w14:textId="77777777" w:rsidR="00FD2CE4" w:rsidRPr="001C7278" w:rsidRDefault="00FD2CE4" w:rsidP="00FD2CE4">
            <w:pPr>
              <w:rPr>
                <w:rFonts w:cstheme="minorHAnsi"/>
              </w:rPr>
            </w:pPr>
            <w:r w:rsidRPr="001C7278">
              <w:rPr>
                <w:rFonts w:cstheme="minorHAnsi"/>
              </w:rPr>
              <w:t xml:space="preserve">Der Kunden har tilrettelagt for det, skal Konsulenten levere faktura, kreditnotaer og purringer i henhold til det fastsatte formatet Elektronisk </w:t>
            </w:r>
            <w:proofErr w:type="spellStart"/>
            <w:r w:rsidRPr="001C7278">
              <w:rPr>
                <w:rFonts w:cstheme="minorHAnsi"/>
              </w:rPr>
              <w:t>handelsformat</w:t>
            </w:r>
            <w:proofErr w:type="spellEnd"/>
            <w:r w:rsidRPr="001C7278">
              <w:rPr>
                <w:rFonts w:cstheme="minorHAnsi"/>
              </w:rPr>
              <w:t xml:space="preserve"> (EHF). </w:t>
            </w:r>
          </w:p>
          <w:p w14:paraId="7B978A4B" w14:textId="77777777" w:rsidR="00FD2CE4" w:rsidRPr="001C7278" w:rsidRDefault="00FD2CE4" w:rsidP="00FD2CE4">
            <w:pPr>
              <w:rPr>
                <w:rFonts w:cstheme="minorHAnsi"/>
              </w:rPr>
            </w:pPr>
          </w:p>
          <w:p w14:paraId="7FA1643E" w14:textId="77777777" w:rsidR="00FD2CE4" w:rsidRPr="001C7278" w:rsidRDefault="00FD2CE4" w:rsidP="00FD2CE4">
            <w:pPr>
              <w:rPr>
                <w:rFonts w:cstheme="minorHAnsi"/>
              </w:rPr>
            </w:pPr>
            <w:r w:rsidRPr="001C7278">
              <w:rPr>
                <w:rFonts w:cstheme="minorHAnsi"/>
              </w:rPr>
              <w:t xml:space="preserve">Betalingsplan og øvrige betalingsvilkår, samt eventuelle vilkår for bruk av EHF, </w:t>
            </w:r>
            <w:proofErr w:type="gramStart"/>
            <w:r w:rsidRPr="001C7278">
              <w:rPr>
                <w:rFonts w:cstheme="minorHAnsi"/>
              </w:rPr>
              <w:t>fremgår</w:t>
            </w:r>
            <w:proofErr w:type="gramEnd"/>
            <w:r w:rsidRPr="001C7278">
              <w:rPr>
                <w:rFonts w:cstheme="minorHAnsi"/>
              </w:rPr>
              <w:t xml:space="preserve"> av bilag 5.</w:t>
            </w:r>
          </w:p>
          <w:p w14:paraId="6D8F883F" w14:textId="77777777" w:rsidR="00FD2CE4" w:rsidRPr="001C7278" w:rsidRDefault="00FD2CE4" w:rsidP="00FD2CE4">
            <w:pPr>
              <w:rPr>
                <w:rFonts w:cstheme="minorHAnsi"/>
              </w:rPr>
            </w:pPr>
          </w:p>
          <w:p w14:paraId="366ABE1E" w14:textId="77777777" w:rsidR="00FD2CE4" w:rsidRPr="001C7278" w:rsidRDefault="00FD2CE4" w:rsidP="00FD2CE4">
            <w:pPr>
              <w:rPr>
                <w:rFonts w:cstheme="minorHAnsi"/>
              </w:rPr>
            </w:pPr>
            <w:r w:rsidRPr="001C7278">
              <w:rPr>
                <w:rFonts w:cstheme="minorHAnsi"/>
              </w:rPr>
              <w:t>Konsulenten må selv bære eventuelle kostnader som leveranse av elektronisk faktura måtte medføre for denne.</w:t>
            </w:r>
            <w:r w:rsidRPr="001C7278">
              <w:rPr>
                <w:rFonts w:cstheme="minorHAnsi"/>
              </w:rPr>
              <w:br/>
            </w:r>
          </w:p>
          <w:p w14:paraId="5ADB0257" w14:textId="3D85DA42" w:rsidR="00FD2CE4" w:rsidRDefault="00FD2CE4" w:rsidP="00C22D3C">
            <w:pPr>
              <w:rPr>
                <w:b/>
              </w:rPr>
            </w:pPr>
          </w:p>
        </w:tc>
        <w:tc>
          <w:tcPr>
            <w:tcW w:w="4782" w:type="dxa"/>
          </w:tcPr>
          <w:p w14:paraId="713BA921" w14:textId="77777777" w:rsidR="002A1B7E" w:rsidRDefault="00D02804" w:rsidP="004B5B2D">
            <w:pPr>
              <w:rPr>
                <w:b/>
              </w:rPr>
            </w:pPr>
            <w:r>
              <w:rPr>
                <w:b/>
              </w:rPr>
              <w:t>6.2 Fakturering</w:t>
            </w:r>
            <w:r w:rsidR="00AD3756">
              <w:rPr>
                <w:b/>
              </w:rPr>
              <w:t xml:space="preserve"> (oppdatert 08.05.2019)</w:t>
            </w:r>
          </w:p>
          <w:p w14:paraId="20B2578F" w14:textId="77777777" w:rsidR="00FD2CE4" w:rsidRDefault="00FD2CE4" w:rsidP="004B5B2D">
            <w:pPr>
              <w:rPr>
                <w:b/>
              </w:rPr>
            </w:pPr>
          </w:p>
          <w:p w14:paraId="74D5CC88" w14:textId="77777777" w:rsidR="00FD2CE4" w:rsidRPr="001C7278" w:rsidRDefault="00FD2CE4" w:rsidP="00FD2CE4">
            <w:pPr>
              <w:rPr>
                <w:rFonts w:cstheme="minorHAnsi"/>
              </w:rPr>
            </w:pPr>
            <w:r w:rsidRPr="001C7278">
              <w:rPr>
                <w:rFonts w:cstheme="minorHAnsi"/>
              </w:rPr>
              <w:t xml:space="preserve">Vederlag og utlegg skal faktureres til de tider som </w:t>
            </w:r>
            <w:proofErr w:type="gramStart"/>
            <w:r w:rsidRPr="001C7278">
              <w:rPr>
                <w:rFonts w:cstheme="minorHAnsi"/>
              </w:rPr>
              <w:t>fremgår</w:t>
            </w:r>
            <w:proofErr w:type="gramEnd"/>
            <w:r w:rsidRPr="001C7278">
              <w:rPr>
                <w:rFonts w:cstheme="minorHAnsi"/>
              </w:rPr>
              <w:t xml:space="preserve"> av bilag 5. Vederlag basert på løpende timer faktureres etterskuddsvis pr. måned hvis ikke annet er avtalt i bilag 5. I så fall skal fakturert beløp gjelde den tid som er medgått frem til faktureringstidspunktet, samt eventuell dekning av utgifter påløpt i samme tidsrom.</w:t>
            </w:r>
          </w:p>
          <w:p w14:paraId="49147777" w14:textId="77777777" w:rsidR="00FD2CE4" w:rsidRPr="001C7278" w:rsidRDefault="00FD2CE4" w:rsidP="00FD2CE4">
            <w:pPr>
              <w:rPr>
                <w:rFonts w:cstheme="minorHAnsi"/>
              </w:rPr>
            </w:pPr>
          </w:p>
          <w:p w14:paraId="3137E606" w14:textId="46A58FCE" w:rsidR="00FD2CE4" w:rsidRDefault="00FD2CE4" w:rsidP="00FD2CE4">
            <w:pPr>
              <w:rPr>
                <w:rFonts w:cstheme="minorHAnsi"/>
              </w:rPr>
            </w:pPr>
            <w:r w:rsidRPr="001C7278">
              <w:rPr>
                <w:rFonts w:cstheme="minorHAnsi"/>
                <w:color w:val="000000"/>
              </w:rPr>
              <w:t>Betaling skal skje etter faktura per 30 (tretti) kalenderdager.</w:t>
            </w:r>
            <w:r w:rsidRPr="001C7278">
              <w:rPr>
                <w:rFonts w:cstheme="minorHAnsi"/>
              </w:rPr>
              <w:t xml:space="preserve"> Konsulentens fakturaer skal spesifiseres og dokumenteres slik at Kunden enkelt kan kontrollere fakturaen i forhold til det avtalte vederlag. Alle fakturaer for løpende timer skal være vedlagt detaljert spesifikasjon over påløpte timer. Utlegg skal angis særskilt. </w:t>
            </w:r>
          </w:p>
          <w:p w14:paraId="588AB0FE" w14:textId="5BB4F456" w:rsidR="00871524" w:rsidRDefault="00871524" w:rsidP="00FD2CE4">
            <w:pPr>
              <w:rPr>
                <w:rFonts w:cstheme="minorHAnsi"/>
              </w:rPr>
            </w:pPr>
          </w:p>
          <w:p w14:paraId="2262B76F" w14:textId="77777777" w:rsidR="00871524" w:rsidRPr="008558C2" w:rsidRDefault="00871524" w:rsidP="00871524">
            <w:pPr>
              <w:rPr>
                <w:rFonts w:cstheme="minorHAnsi"/>
                <w:i/>
              </w:rPr>
            </w:pPr>
            <w:bookmarkStart w:id="4" w:name="_GoBack"/>
            <w:r w:rsidRPr="008558C2">
              <w:rPr>
                <w:rFonts w:cstheme="minorHAnsi"/>
                <w:i/>
              </w:rPr>
              <w:t>Det er et krav at leverandøren bruker elektronisk faktura i godkjent standard format i henhold til forskrift av 2. april 2019 om elektronisk faktura i offentlige anskaffelser.</w:t>
            </w:r>
          </w:p>
          <w:p w14:paraId="4023E9AD" w14:textId="77777777" w:rsidR="00871524" w:rsidRDefault="00871524" w:rsidP="00871524">
            <w:pPr>
              <w:rPr>
                <w:rFonts w:cstheme="minorHAnsi"/>
              </w:rPr>
            </w:pPr>
          </w:p>
          <w:p w14:paraId="3CC86F35" w14:textId="77777777" w:rsidR="00871524" w:rsidRPr="00871524" w:rsidRDefault="00871524" w:rsidP="00871524">
            <w:pPr>
              <w:rPr>
                <w:rFonts w:cstheme="minorHAnsi"/>
                <w:i/>
              </w:rPr>
            </w:pPr>
            <w:r w:rsidRPr="00871524">
              <w:rPr>
                <w:rFonts w:cstheme="minorHAnsi"/>
                <w:i/>
              </w:rPr>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705F2A87" w14:textId="77777777" w:rsidR="00871524" w:rsidRPr="00871524" w:rsidRDefault="00871524" w:rsidP="00871524">
            <w:pPr>
              <w:rPr>
                <w:rFonts w:cstheme="minorHAnsi"/>
                <w:i/>
              </w:rPr>
            </w:pPr>
          </w:p>
          <w:p w14:paraId="0DEF7AED" w14:textId="77777777" w:rsidR="00871524" w:rsidRPr="00871524" w:rsidRDefault="00871524" w:rsidP="00871524">
            <w:pPr>
              <w:rPr>
                <w:i/>
              </w:rPr>
            </w:pPr>
            <w:r w:rsidRPr="00871524">
              <w:rPr>
                <w:rFonts w:cstheme="minorHAnsi"/>
                <w:i/>
              </w:rPr>
              <w:t xml:space="preserve">Dersom opplysninger i faktura eller fakturagrunnlag inneholder opplysninger som er underlagt lovbestemt taushetsplikt, og det vil være </w:t>
            </w:r>
            <w:r w:rsidRPr="00871524">
              <w:rPr>
                <w:rFonts w:cstheme="minorHAnsi"/>
                <w:i/>
              </w:rPr>
              <w:lastRenderedPageBreak/>
              <w:t>fare for avsløring av slike opplysninger, kan krav om elektronisk faktura fravikes, med mindre det finnes tilfredsstillende tekniske sikringsløsninger som ivaretar konfidensialitet.</w:t>
            </w:r>
          </w:p>
          <w:bookmarkEnd w:id="4"/>
          <w:p w14:paraId="480E6EF1" w14:textId="77777777" w:rsidR="00871524" w:rsidRDefault="00871524" w:rsidP="00FD2CE4">
            <w:pPr>
              <w:rPr>
                <w:rFonts w:cstheme="minorHAnsi"/>
              </w:rPr>
            </w:pPr>
          </w:p>
          <w:p w14:paraId="4A9B1F4E" w14:textId="35D41F64" w:rsidR="00FF5B12" w:rsidRPr="001C7278" w:rsidRDefault="00FF5B12" w:rsidP="00FF5B12">
            <w:pPr>
              <w:rPr>
                <w:rFonts w:cstheme="minorHAnsi"/>
              </w:rPr>
            </w:pPr>
            <w:r w:rsidRPr="001C7278">
              <w:rPr>
                <w:rFonts w:cstheme="minorHAnsi"/>
              </w:rPr>
              <w:t xml:space="preserve">Betalingsplan og øvrige betalingsvilkår </w:t>
            </w:r>
            <w:proofErr w:type="gramStart"/>
            <w:r w:rsidRPr="001C7278">
              <w:rPr>
                <w:rFonts w:cstheme="minorHAnsi"/>
              </w:rPr>
              <w:t>fremgår</w:t>
            </w:r>
            <w:proofErr w:type="gramEnd"/>
            <w:r w:rsidRPr="001C7278">
              <w:rPr>
                <w:rFonts w:cstheme="minorHAnsi"/>
              </w:rPr>
              <w:t xml:space="preserve"> av bilag 5.</w:t>
            </w:r>
          </w:p>
          <w:p w14:paraId="3C0CC6E2" w14:textId="77777777" w:rsidR="00FF5B12" w:rsidRPr="001C7278" w:rsidRDefault="00FF5B12" w:rsidP="00FF5B12">
            <w:pPr>
              <w:rPr>
                <w:rFonts w:cstheme="minorHAnsi"/>
              </w:rPr>
            </w:pPr>
          </w:p>
          <w:p w14:paraId="513693E2" w14:textId="77777777" w:rsidR="00FF5B12" w:rsidRPr="001C7278" w:rsidRDefault="00FF5B12" w:rsidP="00FF5B12">
            <w:pPr>
              <w:rPr>
                <w:rFonts w:cstheme="minorHAnsi"/>
              </w:rPr>
            </w:pPr>
            <w:r w:rsidRPr="001C7278">
              <w:rPr>
                <w:rFonts w:cstheme="minorHAnsi"/>
              </w:rPr>
              <w:t>Konsulenten må selv bære eventuelle kostnader som leveranse av elektronisk faktura måtte medføre for denne.</w:t>
            </w:r>
            <w:r w:rsidRPr="001C7278">
              <w:rPr>
                <w:rFonts w:cstheme="minorHAnsi"/>
              </w:rPr>
              <w:br/>
            </w:r>
          </w:p>
          <w:p w14:paraId="647EA7D6" w14:textId="578CACDF" w:rsidR="00871524" w:rsidRDefault="00871524" w:rsidP="00FD2CE4">
            <w:pPr>
              <w:rPr>
                <w:rFonts w:cstheme="minorHAnsi"/>
              </w:rPr>
            </w:pPr>
          </w:p>
          <w:p w14:paraId="4AD0C86B" w14:textId="77777777" w:rsidR="00871524" w:rsidRPr="001C7278" w:rsidRDefault="00871524" w:rsidP="00FD2CE4">
            <w:pPr>
              <w:rPr>
                <w:rFonts w:cstheme="minorHAnsi"/>
              </w:rPr>
            </w:pPr>
          </w:p>
          <w:p w14:paraId="1EF5AAEF" w14:textId="18D43999" w:rsidR="00FD2CE4" w:rsidRDefault="00FD2CE4" w:rsidP="004B5B2D">
            <w:pPr>
              <w:rPr>
                <w:b/>
              </w:rPr>
            </w:pPr>
          </w:p>
        </w:tc>
      </w:tr>
    </w:tbl>
    <w:p w14:paraId="16273145" w14:textId="77777777" w:rsidR="00630DFE" w:rsidRPr="00371BFE" w:rsidRDefault="00630DFE" w:rsidP="00BF71D7"/>
    <w:sectPr w:rsidR="00630DFE" w:rsidRPr="00371BF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A40A8" w14:textId="77777777" w:rsidR="002C7A2E" w:rsidRDefault="002C7A2E" w:rsidP="00371BFE">
      <w:pPr>
        <w:spacing w:after="0" w:line="240" w:lineRule="auto"/>
      </w:pPr>
      <w:r>
        <w:separator/>
      </w:r>
    </w:p>
  </w:endnote>
  <w:endnote w:type="continuationSeparator" w:id="0">
    <w:p w14:paraId="48A81DB2" w14:textId="77777777" w:rsidR="002C7A2E" w:rsidRDefault="002C7A2E" w:rsidP="00371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095320"/>
      <w:docPartObj>
        <w:docPartGallery w:val="Page Numbers (Bottom of Page)"/>
        <w:docPartUnique/>
      </w:docPartObj>
    </w:sdtPr>
    <w:sdtEndPr/>
    <w:sdtContent>
      <w:sdt>
        <w:sdtPr>
          <w:id w:val="-1769616900"/>
          <w:docPartObj>
            <w:docPartGallery w:val="Page Numbers (Top of Page)"/>
            <w:docPartUnique/>
          </w:docPartObj>
        </w:sdtPr>
        <w:sdtEndPr/>
        <w:sdtContent>
          <w:p w14:paraId="75F4B957" w14:textId="227A93E5" w:rsidR="00BF71D7" w:rsidRDefault="00BF71D7">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096A5C8" w14:textId="77777777" w:rsidR="00BF71D7" w:rsidRDefault="00BF71D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16F22" w14:textId="77777777" w:rsidR="002C7A2E" w:rsidRDefault="002C7A2E" w:rsidP="00371BFE">
      <w:pPr>
        <w:spacing w:after="0" w:line="240" w:lineRule="auto"/>
      </w:pPr>
      <w:r>
        <w:separator/>
      </w:r>
    </w:p>
  </w:footnote>
  <w:footnote w:type="continuationSeparator" w:id="0">
    <w:p w14:paraId="2CAAC53A" w14:textId="77777777" w:rsidR="002C7A2E" w:rsidRDefault="002C7A2E" w:rsidP="00371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1DBF" w14:textId="35CDEEF1" w:rsidR="00371BFE" w:rsidRDefault="00DE6965" w:rsidP="00D4617D">
    <w:pPr>
      <w:pStyle w:val="Topptekst"/>
      <w:jc w:val="right"/>
    </w:pPr>
    <w:r>
      <w:rPr>
        <w:rFonts w:ascii="Arial" w:hAnsi="Arial" w:cs="Arial"/>
        <w:b/>
        <w:noProof/>
        <w:color w:val="000066"/>
        <w:sz w:val="52"/>
        <w:lang w:eastAsia="nb-NO"/>
      </w:rPr>
      <w:drawing>
        <wp:anchor distT="0" distB="0" distL="114300" distR="114300" simplePos="0" relativeHeight="251658752" behindDoc="0" locked="0" layoutInCell="1" allowOverlap="1" wp14:anchorId="385451E4" wp14:editId="54629DA3">
          <wp:simplePos x="0" y="0"/>
          <wp:positionH relativeFrom="column">
            <wp:posOffset>-573793</wp:posOffset>
          </wp:positionH>
          <wp:positionV relativeFrom="paragraph">
            <wp:posOffset>-131528</wp:posOffset>
          </wp:positionV>
          <wp:extent cx="1781093" cy="57721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903" cy="57909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371BFE">
      <w:t>SSA-O Endringslogg 2015-2018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6FC1320"/>
    <w:lvl w:ilvl="0">
      <w:start w:val="1"/>
      <w:numFmt w:val="decimal"/>
      <w:pStyle w:val="Overskrift1"/>
      <w:lvlText w:val="%1."/>
      <w:legacy w:legacy="1" w:legacySpace="0" w:legacyIndent="0"/>
      <w:lvlJc w:val="left"/>
      <w:pPr>
        <w:ind w:left="0" w:firstLine="0"/>
      </w:pPr>
    </w:lvl>
    <w:lvl w:ilvl="1">
      <w:start w:val="1"/>
      <w:numFmt w:val="decimal"/>
      <w:pStyle w:val="Overskrift2"/>
      <w:lvlText w:val="%1.%2"/>
      <w:legacy w:legacy="1" w:legacySpace="0" w:legacyIndent="0"/>
      <w:lvlJc w:val="left"/>
      <w:pPr>
        <w:ind w:left="0" w:firstLine="0"/>
      </w:pPr>
    </w:lvl>
    <w:lvl w:ilvl="2">
      <w:start w:val="1"/>
      <w:numFmt w:val="decimal"/>
      <w:pStyle w:val="Overskrift3"/>
      <w:lvlText w:val="%1.%2.%3"/>
      <w:legacy w:legacy="1" w:legacySpace="0" w:legacyIndent="0"/>
      <w:lvlJc w:val="left"/>
      <w:pPr>
        <w:ind w:left="0" w:firstLine="0"/>
      </w:pPr>
    </w:lvl>
    <w:lvl w:ilvl="3">
      <w:start w:val="1"/>
      <w:numFmt w:val="decimal"/>
      <w:pStyle w:val="Overskrift4"/>
      <w:lvlText w:val="%1.%2.%3.%4"/>
      <w:legacy w:legacy="1" w:legacySpace="0" w:legacyIndent="0"/>
      <w:lvlJc w:val="left"/>
      <w:pPr>
        <w:ind w:left="0" w:firstLine="0"/>
      </w:pPr>
    </w:lvl>
    <w:lvl w:ilvl="4">
      <w:start w:val="1"/>
      <w:numFmt w:val="decimal"/>
      <w:pStyle w:val="Overskrift5"/>
      <w:lvlText w:val="%1.%2.%3.%4.%5"/>
      <w:legacy w:legacy="1" w:legacySpace="0" w:legacyIndent="0"/>
      <w:lvlJc w:val="left"/>
      <w:pPr>
        <w:ind w:left="0" w:firstLine="0"/>
      </w:pPr>
    </w:lvl>
    <w:lvl w:ilvl="5">
      <w:start w:val="1"/>
      <w:numFmt w:val="decimal"/>
      <w:pStyle w:val="Overskrift6"/>
      <w:lvlText w:val="%1.%2.%3.%4.%5.%6"/>
      <w:legacy w:legacy="1" w:legacySpace="0" w:legacyIndent="0"/>
      <w:lvlJc w:val="left"/>
      <w:pPr>
        <w:ind w:left="0" w:firstLine="0"/>
      </w:pPr>
    </w:lvl>
    <w:lvl w:ilvl="6">
      <w:start w:val="1"/>
      <w:numFmt w:val="decimal"/>
      <w:pStyle w:val="Overskrift7"/>
      <w:lvlText w:val="%1.%2.%3.%4.%5.%6.%7"/>
      <w:legacy w:legacy="1" w:legacySpace="0" w:legacyIndent="0"/>
      <w:lvlJc w:val="left"/>
      <w:pPr>
        <w:ind w:left="0" w:firstLine="0"/>
      </w:pPr>
    </w:lvl>
    <w:lvl w:ilvl="7">
      <w:start w:val="1"/>
      <w:numFmt w:val="decimal"/>
      <w:pStyle w:val="Overskrift8"/>
      <w:lvlText w:val="%1.%2.%3.%4.%5.%6.%7.%8"/>
      <w:legacy w:legacy="1" w:legacySpace="0" w:legacyIndent="0"/>
      <w:lvlJc w:val="left"/>
      <w:pPr>
        <w:ind w:left="0" w:firstLine="0"/>
      </w:pPr>
    </w:lvl>
    <w:lvl w:ilvl="8">
      <w:start w:val="1"/>
      <w:numFmt w:val="decimal"/>
      <w:pStyle w:val="Overskrift9"/>
      <w:lvlText w:val="%1.%2.%3.%4.%5.%6.%7.%8.%9"/>
      <w:legacy w:legacy="1" w:legacySpace="0" w:legacyIndent="0"/>
      <w:lvlJc w:val="left"/>
      <w:pPr>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6F70"/>
    <w:rsid w:val="000E635D"/>
    <w:rsid w:val="001774DC"/>
    <w:rsid w:val="002A1B7E"/>
    <w:rsid w:val="002B1BCE"/>
    <w:rsid w:val="002C7A2E"/>
    <w:rsid w:val="00353EAF"/>
    <w:rsid w:val="00367F96"/>
    <w:rsid w:val="00371BFE"/>
    <w:rsid w:val="003C58D5"/>
    <w:rsid w:val="003E77D8"/>
    <w:rsid w:val="003F3B5A"/>
    <w:rsid w:val="00447654"/>
    <w:rsid w:val="00481777"/>
    <w:rsid w:val="004B5B2D"/>
    <w:rsid w:val="005063C1"/>
    <w:rsid w:val="005E094D"/>
    <w:rsid w:val="00624A47"/>
    <w:rsid w:val="00630DFE"/>
    <w:rsid w:val="00650E30"/>
    <w:rsid w:val="006E63A5"/>
    <w:rsid w:val="007E6F70"/>
    <w:rsid w:val="008558C2"/>
    <w:rsid w:val="00871524"/>
    <w:rsid w:val="00AB340F"/>
    <w:rsid w:val="00AD3756"/>
    <w:rsid w:val="00AF6398"/>
    <w:rsid w:val="00B72816"/>
    <w:rsid w:val="00BF71D7"/>
    <w:rsid w:val="00CA246E"/>
    <w:rsid w:val="00D02804"/>
    <w:rsid w:val="00D4617D"/>
    <w:rsid w:val="00D70434"/>
    <w:rsid w:val="00DE6965"/>
    <w:rsid w:val="00E627C5"/>
    <w:rsid w:val="00FD2CE4"/>
    <w:rsid w:val="00FF5B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0AE7A2"/>
  <w15:chartTrackingRefBased/>
  <w15:docId w15:val="{7EFE46A8-1F78-4B79-A8F2-46A0DEC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aliases w:val="Heading V,TF-Overskrift 1"/>
    <w:basedOn w:val="Normal"/>
    <w:next w:val="Normal"/>
    <w:link w:val="Overskrift1Tegn"/>
    <w:qFormat/>
    <w:rsid w:val="00E627C5"/>
    <w:pPr>
      <w:keepNext/>
      <w:keepLines/>
      <w:numPr>
        <w:numId w:val="1"/>
      </w:numPr>
      <w:spacing w:before="600" w:after="240" w:line="240" w:lineRule="auto"/>
      <w:ind w:hanging="851"/>
      <w:outlineLvl w:val="0"/>
    </w:pPr>
    <w:rPr>
      <w:rFonts w:ascii="Arial" w:eastAsia="Times New Roman" w:hAnsi="Arial" w:cs="Arial"/>
      <w:b/>
      <w:bCs/>
      <w:caps/>
      <w:kern w:val="28"/>
      <w:sz w:val="26"/>
      <w:szCs w:val="26"/>
      <w:lang w:eastAsia="ar-SA"/>
    </w:rPr>
  </w:style>
  <w:style w:type="paragraph" w:styleId="Overskrift2">
    <w:name w:val="heading 2"/>
    <w:aliases w:val="TF-Overskrit 2"/>
    <w:basedOn w:val="Normal"/>
    <w:next w:val="Normal"/>
    <w:link w:val="Overskrift2Tegn"/>
    <w:semiHidden/>
    <w:unhideWhenUsed/>
    <w:qFormat/>
    <w:rsid w:val="00E627C5"/>
    <w:pPr>
      <w:keepNext/>
      <w:keepLines/>
      <w:numPr>
        <w:ilvl w:val="1"/>
        <w:numId w:val="1"/>
      </w:numPr>
      <w:spacing w:before="120" w:after="240" w:line="240" w:lineRule="auto"/>
      <w:ind w:hanging="851"/>
      <w:outlineLvl w:val="1"/>
    </w:pPr>
    <w:rPr>
      <w:rFonts w:ascii="Arial" w:eastAsia="Times New Roman" w:hAnsi="Arial" w:cs="Arial"/>
      <w:b/>
      <w:bCs/>
      <w:smallCaps/>
      <w:lang w:eastAsia="ar-SA"/>
    </w:rPr>
  </w:style>
  <w:style w:type="paragraph" w:styleId="Overskrift3">
    <w:name w:val="heading 3"/>
    <w:basedOn w:val="Normal"/>
    <w:next w:val="Normal"/>
    <w:link w:val="Overskrift3Tegn"/>
    <w:semiHidden/>
    <w:unhideWhenUsed/>
    <w:qFormat/>
    <w:rsid w:val="00E627C5"/>
    <w:pPr>
      <w:keepNext/>
      <w:keepLines/>
      <w:numPr>
        <w:ilvl w:val="2"/>
        <w:numId w:val="1"/>
      </w:numPr>
      <w:spacing w:after="180" w:line="240" w:lineRule="auto"/>
      <w:ind w:hanging="851"/>
      <w:outlineLvl w:val="2"/>
    </w:pPr>
    <w:rPr>
      <w:rFonts w:ascii="Arial" w:eastAsia="Times New Roman" w:hAnsi="Arial" w:cs="Arial"/>
      <w:b/>
      <w:bCs/>
      <w:lang w:eastAsia="ar-SA"/>
    </w:rPr>
  </w:style>
  <w:style w:type="paragraph" w:styleId="Overskrift4">
    <w:name w:val="heading 4"/>
    <w:aliases w:val="H4"/>
    <w:basedOn w:val="Normal"/>
    <w:next w:val="Normal"/>
    <w:link w:val="Overskrift4Tegn"/>
    <w:semiHidden/>
    <w:unhideWhenUsed/>
    <w:qFormat/>
    <w:rsid w:val="00E627C5"/>
    <w:pPr>
      <w:keepNext/>
      <w:keepLines/>
      <w:widowControl w:val="0"/>
      <w:numPr>
        <w:ilvl w:val="3"/>
        <w:numId w:val="1"/>
      </w:numPr>
      <w:spacing w:before="240" w:after="60" w:line="240" w:lineRule="auto"/>
      <w:ind w:hanging="851"/>
      <w:outlineLvl w:val="3"/>
    </w:pPr>
    <w:rPr>
      <w:rFonts w:ascii="Arial" w:eastAsia="Times New Roman" w:hAnsi="Arial" w:cs="Times New Roman"/>
      <w:b/>
      <w:bCs/>
      <w:i/>
      <w:iCs/>
      <w:sz w:val="24"/>
      <w:szCs w:val="24"/>
      <w:lang w:eastAsia="ar-SA"/>
    </w:rPr>
  </w:style>
  <w:style w:type="paragraph" w:styleId="Overskrift5">
    <w:name w:val="heading 5"/>
    <w:basedOn w:val="Normal"/>
    <w:next w:val="Normal"/>
    <w:link w:val="Overskrift5Tegn"/>
    <w:semiHidden/>
    <w:unhideWhenUsed/>
    <w:qFormat/>
    <w:rsid w:val="00E627C5"/>
    <w:pPr>
      <w:numPr>
        <w:ilvl w:val="4"/>
        <w:numId w:val="1"/>
      </w:numPr>
      <w:suppressLineNumbers/>
      <w:suppressAutoHyphens/>
      <w:spacing w:before="240" w:after="60" w:line="240" w:lineRule="auto"/>
      <w:outlineLvl w:val="4"/>
    </w:pPr>
    <w:rPr>
      <w:rFonts w:ascii="Arial" w:eastAsia="Times New Roman" w:hAnsi="Arial" w:cs="Arial"/>
      <w:lang w:eastAsia="ar-SA"/>
    </w:rPr>
  </w:style>
  <w:style w:type="paragraph" w:styleId="Overskrift6">
    <w:name w:val="heading 6"/>
    <w:basedOn w:val="Normal"/>
    <w:next w:val="Normal"/>
    <w:link w:val="Overskrift6Tegn"/>
    <w:semiHidden/>
    <w:unhideWhenUsed/>
    <w:qFormat/>
    <w:rsid w:val="00E627C5"/>
    <w:pPr>
      <w:numPr>
        <w:ilvl w:val="5"/>
        <w:numId w:val="1"/>
      </w:numPr>
      <w:suppressLineNumbers/>
      <w:suppressAutoHyphens/>
      <w:spacing w:before="240" w:after="60" w:line="240" w:lineRule="auto"/>
      <w:outlineLvl w:val="5"/>
    </w:pPr>
    <w:rPr>
      <w:rFonts w:ascii="Arial" w:eastAsia="Times New Roman" w:hAnsi="Arial" w:cs="Arial"/>
      <w:i/>
      <w:iCs/>
      <w:lang w:eastAsia="ar-SA"/>
    </w:rPr>
  </w:style>
  <w:style w:type="paragraph" w:styleId="Overskrift7">
    <w:name w:val="heading 7"/>
    <w:basedOn w:val="Normal"/>
    <w:next w:val="Normal"/>
    <w:link w:val="Overskrift7Tegn"/>
    <w:semiHidden/>
    <w:unhideWhenUsed/>
    <w:qFormat/>
    <w:rsid w:val="00E627C5"/>
    <w:pPr>
      <w:numPr>
        <w:ilvl w:val="6"/>
        <w:numId w:val="1"/>
      </w:numPr>
      <w:suppressLineNumbers/>
      <w:suppressAutoHyphens/>
      <w:spacing w:before="240" w:after="60" w:line="240" w:lineRule="auto"/>
      <w:outlineLvl w:val="6"/>
    </w:pPr>
    <w:rPr>
      <w:rFonts w:ascii="Arial" w:eastAsia="Times New Roman" w:hAnsi="Arial" w:cs="Arial"/>
      <w:sz w:val="20"/>
      <w:szCs w:val="20"/>
      <w:lang w:eastAsia="ar-SA"/>
    </w:rPr>
  </w:style>
  <w:style w:type="paragraph" w:styleId="Overskrift8">
    <w:name w:val="heading 8"/>
    <w:basedOn w:val="Normal"/>
    <w:next w:val="Normal"/>
    <w:link w:val="Overskrift8Tegn"/>
    <w:semiHidden/>
    <w:unhideWhenUsed/>
    <w:qFormat/>
    <w:rsid w:val="00E627C5"/>
    <w:pPr>
      <w:numPr>
        <w:ilvl w:val="7"/>
        <w:numId w:val="1"/>
      </w:numPr>
      <w:suppressLineNumbers/>
      <w:suppressAutoHyphens/>
      <w:spacing w:before="240" w:after="60" w:line="240" w:lineRule="auto"/>
      <w:outlineLvl w:val="7"/>
    </w:pPr>
    <w:rPr>
      <w:rFonts w:ascii="Arial" w:eastAsia="Times New Roman" w:hAnsi="Arial" w:cs="Arial"/>
      <w:i/>
      <w:iCs/>
      <w:sz w:val="20"/>
      <w:szCs w:val="20"/>
      <w:lang w:eastAsia="ar-SA"/>
    </w:rPr>
  </w:style>
  <w:style w:type="paragraph" w:styleId="Overskrift9">
    <w:name w:val="heading 9"/>
    <w:basedOn w:val="Normal"/>
    <w:next w:val="Normal"/>
    <w:link w:val="Overskrift9Tegn"/>
    <w:semiHidden/>
    <w:unhideWhenUsed/>
    <w:qFormat/>
    <w:rsid w:val="00E627C5"/>
    <w:pPr>
      <w:numPr>
        <w:ilvl w:val="8"/>
        <w:numId w:val="1"/>
      </w:numPr>
      <w:suppressLineNumbers/>
      <w:suppressAutoHyphens/>
      <w:spacing w:before="240" w:after="60" w:line="240" w:lineRule="auto"/>
      <w:outlineLvl w:val="8"/>
    </w:pPr>
    <w:rPr>
      <w:rFonts w:ascii="Arial" w:eastAsia="Times New Roman" w:hAnsi="Arial" w:cs="Arial"/>
      <w:i/>
      <w:iCs/>
      <w:sz w:val="18"/>
      <w:szCs w:val="18"/>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E6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Heading V Tegn,TF-Overskrift 1 Tegn"/>
    <w:basedOn w:val="Standardskriftforavsnitt"/>
    <w:link w:val="Overskrift1"/>
    <w:rsid w:val="00E627C5"/>
    <w:rPr>
      <w:rFonts w:ascii="Arial" w:eastAsia="Times New Roman" w:hAnsi="Arial" w:cs="Arial"/>
      <w:b/>
      <w:bCs/>
      <w:caps/>
      <w:kern w:val="28"/>
      <w:sz w:val="26"/>
      <w:szCs w:val="26"/>
      <w:lang w:eastAsia="ar-SA"/>
    </w:rPr>
  </w:style>
  <w:style w:type="character" w:customStyle="1" w:styleId="Overskrift2Tegn">
    <w:name w:val="Overskrift 2 Tegn"/>
    <w:aliases w:val="TF-Overskrit 2 Tegn"/>
    <w:basedOn w:val="Standardskriftforavsnitt"/>
    <w:link w:val="Overskrift2"/>
    <w:semiHidden/>
    <w:rsid w:val="00E627C5"/>
    <w:rPr>
      <w:rFonts w:ascii="Arial" w:eastAsia="Times New Roman" w:hAnsi="Arial" w:cs="Arial"/>
      <w:b/>
      <w:bCs/>
      <w:smallCaps/>
      <w:lang w:eastAsia="ar-SA"/>
    </w:rPr>
  </w:style>
  <w:style w:type="character" w:customStyle="1" w:styleId="Overskrift3Tegn">
    <w:name w:val="Overskrift 3 Tegn"/>
    <w:basedOn w:val="Standardskriftforavsnitt"/>
    <w:link w:val="Overskrift3"/>
    <w:semiHidden/>
    <w:rsid w:val="00E627C5"/>
    <w:rPr>
      <w:rFonts w:ascii="Arial" w:eastAsia="Times New Roman" w:hAnsi="Arial" w:cs="Arial"/>
      <w:b/>
      <w:bCs/>
      <w:lang w:eastAsia="ar-SA"/>
    </w:rPr>
  </w:style>
  <w:style w:type="character" w:customStyle="1" w:styleId="Overskrift4Tegn">
    <w:name w:val="Overskrift 4 Tegn"/>
    <w:aliases w:val="H4 Tegn"/>
    <w:basedOn w:val="Standardskriftforavsnitt"/>
    <w:link w:val="Overskrift4"/>
    <w:semiHidden/>
    <w:rsid w:val="00E627C5"/>
    <w:rPr>
      <w:rFonts w:ascii="Arial" w:eastAsia="Times New Roman" w:hAnsi="Arial" w:cs="Times New Roman"/>
      <w:b/>
      <w:bCs/>
      <w:i/>
      <w:iCs/>
      <w:sz w:val="24"/>
      <w:szCs w:val="24"/>
      <w:lang w:eastAsia="ar-SA"/>
    </w:rPr>
  </w:style>
  <w:style w:type="character" w:customStyle="1" w:styleId="Overskrift5Tegn">
    <w:name w:val="Overskrift 5 Tegn"/>
    <w:basedOn w:val="Standardskriftforavsnitt"/>
    <w:link w:val="Overskrift5"/>
    <w:semiHidden/>
    <w:rsid w:val="00E627C5"/>
    <w:rPr>
      <w:rFonts w:ascii="Arial" w:eastAsia="Times New Roman" w:hAnsi="Arial" w:cs="Arial"/>
      <w:lang w:eastAsia="ar-SA"/>
    </w:rPr>
  </w:style>
  <w:style w:type="character" w:customStyle="1" w:styleId="Overskrift6Tegn">
    <w:name w:val="Overskrift 6 Tegn"/>
    <w:basedOn w:val="Standardskriftforavsnitt"/>
    <w:link w:val="Overskrift6"/>
    <w:semiHidden/>
    <w:rsid w:val="00E627C5"/>
    <w:rPr>
      <w:rFonts w:ascii="Arial" w:eastAsia="Times New Roman" w:hAnsi="Arial" w:cs="Arial"/>
      <w:i/>
      <w:iCs/>
      <w:lang w:eastAsia="ar-SA"/>
    </w:rPr>
  </w:style>
  <w:style w:type="character" w:customStyle="1" w:styleId="Overskrift7Tegn">
    <w:name w:val="Overskrift 7 Tegn"/>
    <w:basedOn w:val="Standardskriftforavsnitt"/>
    <w:link w:val="Overskrift7"/>
    <w:semiHidden/>
    <w:rsid w:val="00E627C5"/>
    <w:rPr>
      <w:rFonts w:ascii="Arial" w:eastAsia="Times New Roman" w:hAnsi="Arial" w:cs="Arial"/>
      <w:sz w:val="20"/>
      <w:szCs w:val="20"/>
      <w:lang w:eastAsia="ar-SA"/>
    </w:rPr>
  </w:style>
  <w:style w:type="character" w:customStyle="1" w:styleId="Overskrift8Tegn">
    <w:name w:val="Overskrift 8 Tegn"/>
    <w:basedOn w:val="Standardskriftforavsnitt"/>
    <w:link w:val="Overskrift8"/>
    <w:semiHidden/>
    <w:rsid w:val="00E627C5"/>
    <w:rPr>
      <w:rFonts w:ascii="Arial" w:eastAsia="Times New Roman" w:hAnsi="Arial" w:cs="Arial"/>
      <w:i/>
      <w:iCs/>
      <w:sz w:val="20"/>
      <w:szCs w:val="20"/>
      <w:lang w:eastAsia="ar-SA"/>
    </w:rPr>
  </w:style>
  <w:style w:type="character" w:customStyle="1" w:styleId="Overskrift9Tegn">
    <w:name w:val="Overskrift 9 Tegn"/>
    <w:basedOn w:val="Standardskriftforavsnitt"/>
    <w:link w:val="Overskrift9"/>
    <w:semiHidden/>
    <w:rsid w:val="00E627C5"/>
    <w:rPr>
      <w:rFonts w:ascii="Arial" w:eastAsia="Times New Roman" w:hAnsi="Arial" w:cs="Arial"/>
      <w:i/>
      <w:iCs/>
      <w:sz w:val="18"/>
      <w:szCs w:val="18"/>
      <w:lang w:eastAsia="ar-SA"/>
    </w:rPr>
  </w:style>
  <w:style w:type="paragraph" w:styleId="Topptekst">
    <w:name w:val="header"/>
    <w:basedOn w:val="Normal"/>
    <w:link w:val="TopptekstTegn"/>
    <w:uiPriority w:val="99"/>
    <w:unhideWhenUsed/>
    <w:rsid w:val="00371BF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1BFE"/>
  </w:style>
  <w:style w:type="paragraph" w:styleId="Bunntekst">
    <w:name w:val="footer"/>
    <w:basedOn w:val="Normal"/>
    <w:link w:val="BunntekstTegn"/>
    <w:uiPriority w:val="99"/>
    <w:unhideWhenUsed/>
    <w:rsid w:val="00371BF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049923">
      <w:bodyDiv w:val="1"/>
      <w:marLeft w:val="0"/>
      <w:marRight w:val="0"/>
      <w:marTop w:val="0"/>
      <w:marBottom w:val="0"/>
      <w:divBdr>
        <w:top w:val="none" w:sz="0" w:space="0" w:color="auto"/>
        <w:left w:val="none" w:sz="0" w:space="0" w:color="auto"/>
        <w:bottom w:val="none" w:sz="0" w:space="0" w:color="auto"/>
        <w:right w:val="none" w:sz="0" w:space="0" w:color="auto"/>
      </w:divBdr>
    </w:div>
    <w:div w:id="15561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7194</Characters>
  <Application>Microsoft Office Word</Application>
  <DocSecurity>0</DocSecurity>
  <Lines>59</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Cathrine</dc:creator>
  <cp:keywords/>
  <dc:description/>
  <cp:lastModifiedBy>Lindberg, Charlotte</cp:lastModifiedBy>
  <cp:revision>2</cp:revision>
  <dcterms:created xsi:type="dcterms:W3CDTF">2019-05-08T09:04:00Z</dcterms:created>
  <dcterms:modified xsi:type="dcterms:W3CDTF">2019-05-08T09:04:00Z</dcterms:modified>
</cp:coreProperties>
</file>