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4"/>
        <w:gridCol w:w="6359"/>
        <w:gridCol w:w="834"/>
        <w:gridCol w:w="6115"/>
      </w:tblGrid>
      <w:tr w:rsidR="002E03C3" w:rsidRPr="002E03C3" w:rsidTr="002B71FE">
        <w:tc>
          <w:tcPr>
            <w:tcW w:w="834" w:type="dxa"/>
          </w:tcPr>
          <w:p w:rsidR="002E03C3" w:rsidRPr="002E03C3" w:rsidRDefault="002E03C3" w:rsidP="002E03C3">
            <w:pPr>
              <w:rPr>
                <w:b/>
                <w:bCs/>
              </w:rPr>
            </w:pPr>
            <w:proofErr w:type="spellStart"/>
            <w:r w:rsidRPr="002E03C3">
              <w:rPr>
                <w:b/>
                <w:bCs/>
              </w:rPr>
              <w:t>Pkt</w:t>
            </w:r>
            <w:proofErr w:type="spellEnd"/>
          </w:p>
        </w:tc>
        <w:tc>
          <w:tcPr>
            <w:tcW w:w="6359" w:type="dxa"/>
          </w:tcPr>
          <w:p w:rsidR="002E03C3" w:rsidRPr="002E03C3" w:rsidRDefault="002E03C3" w:rsidP="003F557E">
            <w:pPr>
              <w:rPr>
                <w:b/>
                <w:bCs/>
              </w:rPr>
            </w:pPr>
            <w:r w:rsidRPr="002E03C3">
              <w:rPr>
                <w:b/>
                <w:bCs/>
              </w:rPr>
              <w:t>SSA-</w:t>
            </w:r>
            <w:r w:rsidR="00304CBA">
              <w:rPr>
                <w:b/>
                <w:bCs/>
              </w:rPr>
              <w:t>O</w:t>
            </w:r>
            <w:r w:rsidR="0083783C">
              <w:rPr>
                <w:b/>
                <w:bCs/>
              </w:rPr>
              <w:t xml:space="preserve"> </w:t>
            </w:r>
            <w:r w:rsidRPr="002E03C3">
              <w:rPr>
                <w:b/>
                <w:bCs/>
              </w:rPr>
              <w:t xml:space="preserve">versjon </w:t>
            </w:r>
            <w:r w:rsidR="003F557E">
              <w:rPr>
                <w:b/>
                <w:bCs/>
              </w:rPr>
              <w:t>19-</w:t>
            </w:r>
            <w:r w:rsidR="00666BCB" w:rsidRPr="002E03C3">
              <w:rPr>
                <w:b/>
                <w:bCs/>
              </w:rPr>
              <w:t>03-2009</w:t>
            </w:r>
            <w:r w:rsidR="00D575FD">
              <w:rPr>
                <w:b/>
                <w:bCs/>
              </w:rPr>
              <w:t xml:space="preserve"> (sist endret 01-07-2012)</w:t>
            </w:r>
          </w:p>
        </w:tc>
        <w:tc>
          <w:tcPr>
            <w:tcW w:w="834" w:type="dxa"/>
          </w:tcPr>
          <w:p w:rsidR="002E03C3" w:rsidRPr="002E03C3" w:rsidRDefault="002E03C3" w:rsidP="002E03C3">
            <w:pPr>
              <w:rPr>
                <w:b/>
                <w:bCs/>
              </w:rPr>
            </w:pPr>
            <w:proofErr w:type="spellStart"/>
            <w:r w:rsidRPr="002E03C3">
              <w:rPr>
                <w:b/>
                <w:bCs/>
              </w:rPr>
              <w:t>Pkt</w:t>
            </w:r>
            <w:proofErr w:type="spellEnd"/>
          </w:p>
        </w:tc>
        <w:tc>
          <w:tcPr>
            <w:tcW w:w="6115" w:type="dxa"/>
          </w:tcPr>
          <w:p w:rsidR="002E03C3" w:rsidRPr="002E03C3" w:rsidRDefault="002E03C3" w:rsidP="00B137D1">
            <w:pPr>
              <w:rPr>
                <w:b/>
                <w:bCs/>
              </w:rPr>
            </w:pPr>
            <w:r w:rsidRPr="002E03C3">
              <w:rPr>
                <w:b/>
                <w:bCs/>
              </w:rPr>
              <w:t>SSA-</w:t>
            </w:r>
            <w:r w:rsidR="00304CBA">
              <w:rPr>
                <w:b/>
                <w:bCs/>
              </w:rPr>
              <w:t>O</w:t>
            </w:r>
            <w:r w:rsidRPr="002E03C3">
              <w:rPr>
                <w:b/>
                <w:bCs/>
              </w:rPr>
              <w:t xml:space="preserve"> versjon </w:t>
            </w:r>
            <w:r w:rsidR="00B137D1">
              <w:rPr>
                <w:b/>
                <w:bCs/>
              </w:rPr>
              <w:t>01</w:t>
            </w:r>
            <w:r w:rsidR="00666BCB">
              <w:rPr>
                <w:b/>
                <w:bCs/>
              </w:rPr>
              <w:t>-1</w:t>
            </w:r>
            <w:r w:rsidR="00B137D1">
              <w:rPr>
                <w:b/>
                <w:bCs/>
              </w:rPr>
              <w:t>2</w:t>
            </w:r>
            <w:r w:rsidR="00666BCB">
              <w:rPr>
                <w:b/>
                <w:bCs/>
              </w:rPr>
              <w:t>-2013</w:t>
            </w:r>
          </w:p>
        </w:tc>
      </w:tr>
      <w:tr w:rsidR="002B71FE" w:rsidRPr="002E03C3" w:rsidTr="002B71FE">
        <w:tc>
          <w:tcPr>
            <w:tcW w:w="834" w:type="dxa"/>
          </w:tcPr>
          <w:p w:rsidR="002B71FE" w:rsidRPr="002E03C3" w:rsidRDefault="00F22F86" w:rsidP="003F557E">
            <w:pPr>
              <w:rPr>
                <w:b/>
                <w:bCs/>
              </w:rPr>
            </w:pPr>
            <w:r>
              <w:rPr>
                <w:b/>
                <w:bCs/>
              </w:rPr>
              <w:t>2.</w:t>
            </w:r>
            <w:r w:rsidR="002B71FE">
              <w:rPr>
                <w:b/>
                <w:bCs/>
              </w:rPr>
              <w:t>1 (</w:t>
            </w:r>
            <w:r w:rsidR="003F557E">
              <w:rPr>
                <w:b/>
                <w:bCs/>
              </w:rPr>
              <w:t>fjerde</w:t>
            </w:r>
            <w:r w:rsidR="002B71FE">
              <w:rPr>
                <w:b/>
                <w:bCs/>
              </w:rPr>
              <w:t xml:space="preserve"> avsnitt)</w:t>
            </w:r>
          </w:p>
        </w:tc>
        <w:tc>
          <w:tcPr>
            <w:tcW w:w="6359" w:type="dxa"/>
          </w:tcPr>
          <w:p w:rsidR="00F22F86" w:rsidRDefault="00F22F86" w:rsidP="000F3BA6">
            <w:pPr>
              <w:rPr>
                <w:b/>
              </w:rPr>
            </w:pPr>
            <w:r>
              <w:rPr>
                <w:b/>
              </w:rPr>
              <w:t>E</w:t>
            </w:r>
            <w:r w:rsidRPr="00F22F86">
              <w:rPr>
                <w:b/>
              </w:rPr>
              <w:t>ndring av ytelsen etter avtaleinngåelsen</w:t>
            </w:r>
          </w:p>
          <w:p w:rsidR="000F3BA6" w:rsidRPr="00F22F86" w:rsidRDefault="00F22F86" w:rsidP="009B3691">
            <w:r w:rsidRPr="00F22F86">
              <w:t>Kunden kan kreve at Oppdraget reduseres eller økes inntil tilsvarende 20 (tjue) prosent av vederlaget for hele Oppdraget. Prisen skal i så fall endres tilsvarende reduksjonen eller økningen. Konsulenten kan ikke kreve kompensasjon for slik eventuell reduksjon.</w:t>
            </w:r>
          </w:p>
          <w:p w:rsidR="002B71FE" w:rsidRPr="002E03C3" w:rsidRDefault="002B71FE" w:rsidP="002E03C3"/>
        </w:tc>
        <w:tc>
          <w:tcPr>
            <w:tcW w:w="834" w:type="dxa"/>
          </w:tcPr>
          <w:p w:rsidR="002B71FE" w:rsidRPr="002E03C3" w:rsidRDefault="00F22F86" w:rsidP="00F22F86">
            <w:pPr>
              <w:rPr>
                <w:b/>
                <w:bCs/>
              </w:rPr>
            </w:pPr>
            <w:r>
              <w:rPr>
                <w:b/>
                <w:bCs/>
              </w:rPr>
              <w:t>2.</w:t>
            </w:r>
            <w:r w:rsidR="009B3691">
              <w:rPr>
                <w:b/>
                <w:bCs/>
              </w:rPr>
              <w:t xml:space="preserve">1 </w:t>
            </w:r>
            <w:r w:rsidR="003F557E">
              <w:rPr>
                <w:b/>
                <w:bCs/>
              </w:rPr>
              <w:t>(nytt femte</w:t>
            </w:r>
            <w:r w:rsidR="002B71FE">
              <w:rPr>
                <w:b/>
                <w:bCs/>
              </w:rPr>
              <w:t xml:space="preserve"> avsnitt)</w:t>
            </w:r>
          </w:p>
        </w:tc>
        <w:tc>
          <w:tcPr>
            <w:tcW w:w="6115" w:type="dxa"/>
          </w:tcPr>
          <w:p w:rsidR="00F22F86" w:rsidRDefault="00F22F86" w:rsidP="00F22F86">
            <w:pPr>
              <w:rPr>
                <w:b/>
              </w:rPr>
            </w:pPr>
            <w:r>
              <w:rPr>
                <w:b/>
              </w:rPr>
              <w:t>E</w:t>
            </w:r>
            <w:r w:rsidRPr="00F22F86">
              <w:rPr>
                <w:b/>
              </w:rPr>
              <w:t>ndring av ytelsen etter avtaleinngåelsen</w:t>
            </w:r>
          </w:p>
          <w:p w:rsidR="00F22F86" w:rsidRPr="00F22F86" w:rsidRDefault="00F22F86" w:rsidP="00F22F86">
            <w:r w:rsidRPr="00F22F86">
              <w:t>Kunden kan kreve at Oppdraget reduseres eller økes inntil tilsvarende 20 (tjue) prosent av vederlaget for hele Oppdraget. Prisen skal i så fall endres tilsvarende reduksjonen eller økningen. Konsulenten kan ikke kreve kompensasjon for slik eventuell reduksjon.</w:t>
            </w:r>
          </w:p>
          <w:p w:rsidR="002B71FE" w:rsidRPr="002E03C3" w:rsidRDefault="002B71FE" w:rsidP="00F22F86">
            <w:pPr>
              <w:rPr>
                <w:i/>
                <w:iCs/>
              </w:rPr>
            </w:pPr>
            <w:r w:rsidRPr="002B71FE">
              <w:rPr>
                <w:i/>
              </w:rPr>
              <w:t>Dersom anskaffelsen er underlagt regelverket for offentlige anskaffelser, gjelder bestemmelsen kun i den grad Kunden finner dette i tr</w:t>
            </w:r>
            <w:r>
              <w:rPr>
                <w:i/>
              </w:rPr>
              <w:t>åd med anskaffelsesregelverket.</w:t>
            </w:r>
          </w:p>
        </w:tc>
      </w:tr>
      <w:tr w:rsidR="00F22F86" w:rsidRPr="002E03C3" w:rsidTr="002B71FE">
        <w:tc>
          <w:tcPr>
            <w:tcW w:w="834" w:type="dxa"/>
          </w:tcPr>
          <w:p w:rsidR="00F22F86" w:rsidRDefault="00F22F86" w:rsidP="00F22F86">
            <w:pPr>
              <w:rPr>
                <w:b/>
                <w:bCs/>
              </w:rPr>
            </w:pPr>
            <w:r>
              <w:rPr>
                <w:b/>
                <w:bCs/>
              </w:rPr>
              <w:t>2.2</w:t>
            </w:r>
            <w:r w:rsidR="005A5BFA">
              <w:rPr>
                <w:b/>
                <w:bCs/>
              </w:rPr>
              <w:t xml:space="preserve"> (første avsnitt)</w:t>
            </w:r>
          </w:p>
        </w:tc>
        <w:tc>
          <w:tcPr>
            <w:tcW w:w="6359" w:type="dxa"/>
          </w:tcPr>
          <w:p w:rsidR="00F22F86" w:rsidRDefault="00F22F86" w:rsidP="000F3BA6">
            <w:pPr>
              <w:rPr>
                <w:b/>
              </w:rPr>
            </w:pPr>
            <w:r>
              <w:rPr>
                <w:b/>
              </w:rPr>
              <w:t>M</w:t>
            </w:r>
            <w:r w:rsidRPr="00F22F86">
              <w:rPr>
                <w:b/>
              </w:rPr>
              <w:t xml:space="preserve">idlertidig stansing av </w:t>
            </w:r>
            <w:r w:rsidR="005A5BFA">
              <w:rPr>
                <w:b/>
              </w:rPr>
              <w:t>O</w:t>
            </w:r>
            <w:r w:rsidRPr="00F22F86">
              <w:rPr>
                <w:b/>
              </w:rPr>
              <w:t>ppdraget</w:t>
            </w:r>
          </w:p>
          <w:p w:rsidR="00F22F86" w:rsidRPr="00F22F86" w:rsidRDefault="00F22F86" w:rsidP="000F3BA6">
            <w:r w:rsidRPr="00F22F86">
              <w:t>Kunden kan kreve at gjennomføringen av Oppdraget stanses midlertidig. Kravet skal fremsettes skriftlig. Det skal opplyses når Oppdraget skal stanses og når det er planlagt gjenopptatt.</w:t>
            </w:r>
          </w:p>
        </w:tc>
        <w:tc>
          <w:tcPr>
            <w:tcW w:w="834" w:type="dxa"/>
          </w:tcPr>
          <w:p w:rsidR="00F22F86" w:rsidRDefault="00F22F86" w:rsidP="000754F3">
            <w:pPr>
              <w:rPr>
                <w:b/>
                <w:bCs/>
              </w:rPr>
            </w:pPr>
            <w:r>
              <w:rPr>
                <w:b/>
                <w:bCs/>
              </w:rPr>
              <w:t>2.2</w:t>
            </w:r>
            <w:r w:rsidR="005A5BFA">
              <w:rPr>
                <w:b/>
                <w:bCs/>
              </w:rPr>
              <w:t xml:space="preserve"> (første avsnitt)</w:t>
            </w:r>
          </w:p>
        </w:tc>
        <w:tc>
          <w:tcPr>
            <w:tcW w:w="6115" w:type="dxa"/>
          </w:tcPr>
          <w:p w:rsidR="00F22F86" w:rsidRDefault="00F22F86" w:rsidP="000754F3">
            <w:pPr>
              <w:rPr>
                <w:b/>
              </w:rPr>
            </w:pPr>
            <w:r>
              <w:rPr>
                <w:b/>
              </w:rPr>
              <w:t>M</w:t>
            </w:r>
            <w:r w:rsidRPr="00F22F86">
              <w:rPr>
                <w:b/>
              </w:rPr>
              <w:t xml:space="preserve">idlertidig stansing av </w:t>
            </w:r>
            <w:r w:rsidR="005A5BFA">
              <w:rPr>
                <w:b/>
              </w:rPr>
              <w:t>O</w:t>
            </w:r>
            <w:r w:rsidRPr="00F22F86">
              <w:rPr>
                <w:b/>
              </w:rPr>
              <w:t>ppdraget</w:t>
            </w:r>
          </w:p>
          <w:p w:rsidR="00F22F86" w:rsidRDefault="00F22F86" w:rsidP="009F5FD1">
            <w:pPr>
              <w:rPr>
                <w:b/>
              </w:rPr>
            </w:pPr>
            <w:r w:rsidRPr="00F22F86">
              <w:t xml:space="preserve">Kunden kan </w:t>
            </w:r>
            <w:r w:rsidRPr="00F22F86">
              <w:rPr>
                <w:i/>
              </w:rPr>
              <w:t xml:space="preserve">med minimum </w:t>
            </w:r>
            <w:r w:rsidR="009F5FD1">
              <w:rPr>
                <w:i/>
              </w:rPr>
              <w:t>5</w:t>
            </w:r>
            <w:r w:rsidRPr="00F22F86">
              <w:rPr>
                <w:i/>
              </w:rPr>
              <w:t xml:space="preserve"> kalenderdagers</w:t>
            </w:r>
            <w:r>
              <w:rPr>
                <w:i/>
              </w:rPr>
              <w:t xml:space="preserve"> skriftlig varsel</w:t>
            </w:r>
            <w:r w:rsidRPr="008D71E3">
              <w:rPr>
                <w:color w:val="FF0000"/>
              </w:rPr>
              <w:t xml:space="preserve"> </w:t>
            </w:r>
            <w:r w:rsidRPr="00F22F86">
              <w:t>kreve at gjennomføringen av Oppdraget stanses midlertidig. Det skal opplyses når Oppdraget skal stanses og når det er planlagt gjenopptatt.</w:t>
            </w:r>
          </w:p>
        </w:tc>
      </w:tr>
      <w:tr w:rsidR="009F5FD1" w:rsidRPr="002E03C3" w:rsidTr="002B71FE">
        <w:tc>
          <w:tcPr>
            <w:tcW w:w="834" w:type="dxa"/>
          </w:tcPr>
          <w:p w:rsidR="009F5FD1" w:rsidRPr="002E03C3" w:rsidRDefault="009F5FD1" w:rsidP="009F5FD1">
            <w:pPr>
              <w:rPr>
                <w:b/>
                <w:bCs/>
              </w:rPr>
            </w:pPr>
            <w:r>
              <w:rPr>
                <w:b/>
                <w:bCs/>
              </w:rPr>
              <w:t xml:space="preserve">3.3 </w:t>
            </w:r>
          </w:p>
        </w:tc>
        <w:tc>
          <w:tcPr>
            <w:tcW w:w="6359" w:type="dxa"/>
          </w:tcPr>
          <w:p w:rsidR="009F5FD1" w:rsidRDefault="009F5FD1" w:rsidP="009F5FD1">
            <w:pPr>
              <w:pStyle w:val="Overskrift2"/>
              <w:rPr>
                <w:rFonts w:asciiTheme="minorHAnsi" w:eastAsiaTheme="minorHAnsi" w:hAnsiTheme="minorHAnsi" w:cstheme="minorBidi"/>
                <w:bCs w:val="0"/>
                <w:smallCaps w:val="0"/>
                <w:szCs w:val="22"/>
                <w:lang w:eastAsia="en-US"/>
              </w:rPr>
            </w:pPr>
            <w:bookmarkStart w:id="0" w:name="_Toc150576478"/>
            <w:bookmarkStart w:id="1" w:name="_Toc225228269"/>
            <w:r w:rsidRPr="009F5FD1">
              <w:rPr>
                <w:rFonts w:asciiTheme="minorHAnsi" w:eastAsiaTheme="minorHAnsi" w:hAnsiTheme="minorHAnsi" w:cstheme="minorBidi"/>
                <w:bCs w:val="0"/>
                <w:smallCaps w:val="0"/>
                <w:szCs w:val="22"/>
                <w:lang w:eastAsia="en-US"/>
              </w:rPr>
              <w:t>Bruk av underleverandører</w:t>
            </w:r>
            <w:bookmarkEnd w:id="0"/>
            <w:bookmarkEnd w:id="1"/>
            <w:r>
              <w:rPr>
                <w:rFonts w:asciiTheme="minorHAnsi" w:eastAsiaTheme="minorHAnsi" w:hAnsiTheme="minorHAnsi" w:cstheme="minorBidi"/>
                <w:bCs w:val="0"/>
                <w:smallCaps w:val="0"/>
                <w:szCs w:val="22"/>
                <w:lang w:eastAsia="en-US"/>
              </w:rPr>
              <w:t xml:space="preserve"> </w:t>
            </w:r>
          </w:p>
          <w:p w:rsidR="009F5FD1" w:rsidRPr="009F5FD1" w:rsidRDefault="009F5FD1" w:rsidP="009F5FD1">
            <w:pPr>
              <w:pStyle w:val="Overskrift2"/>
              <w:rPr>
                <w:rFonts w:asciiTheme="minorHAnsi" w:eastAsiaTheme="minorHAnsi" w:hAnsiTheme="minorHAnsi" w:cstheme="minorBidi"/>
                <w:b w:val="0"/>
                <w:bCs w:val="0"/>
                <w:smallCaps w:val="0"/>
                <w:szCs w:val="22"/>
                <w:lang w:eastAsia="en-US"/>
              </w:rPr>
            </w:pPr>
          </w:p>
          <w:p w:rsidR="009F5FD1" w:rsidRPr="009F5FD1" w:rsidRDefault="009F5FD1" w:rsidP="009F5FD1">
            <w:pPr>
              <w:pStyle w:val="Overskrift2"/>
              <w:rPr>
                <w:rFonts w:asciiTheme="minorHAnsi" w:eastAsiaTheme="minorHAnsi" w:hAnsiTheme="minorHAnsi" w:cstheme="minorBidi"/>
                <w:b w:val="0"/>
                <w:bCs w:val="0"/>
                <w:smallCaps w:val="0"/>
                <w:szCs w:val="22"/>
                <w:lang w:eastAsia="en-US"/>
              </w:rPr>
            </w:pPr>
            <w:r w:rsidRPr="009F5FD1">
              <w:rPr>
                <w:rFonts w:asciiTheme="minorHAnsi" w:eastAsiaTheme="minorHAnsi" w:hAnsiTheme="minorHAnsi" w:cstheme="minorBidi"/>
                <w:b w:val="0"/>
                <w:bCs w:val="0"/>
                <w:smallCaps w:val="0"/>
                <w:szCs w:val="22"/>
                <w:lang w:eastAsia="en-US"/>
              </w:rPr>
              <w:t xml:space="preserve">Konsulentens bruk og utskifting av eventuell underleverandør skal godkjennes skriftlig av Kunden. Godkjennelse kan ikke nektes uten saklig grunn. </w:t>
            </w:r>
          </w:p>
          <w:p w:rsidR="009F5FD1" w:rsidRPr="009F5FD1" w:rsidRDefault="009F5FD1" w:rsidP="009F5FD1">
            <w:pPr>
              <w:pStyle w:val="Overskrift2"/>
              <w:rPr>
                <w:rFonts w:asciiTheme="minorHAnsi" w:eastAsiaTheme="minorHAnsi" w:hAnsiTheme="minorHAnsi" w:cstheme="minorBidi"/>
                <w:b w:val="0"/>
                <w:bCs w:val="0"/>
                <w:smallCaps w:val="0"/>
                <w:szCs w:val="22"/>
                <w:lang w:eastAsia="en-US"/>
              </w:rPr>
            </w:pPr>
          </w:p>
          <w:p w:rsidR="009F5FD1" w:rsidRPr="009F5FD1" w:rsidRDefault="009F5FD1" w:rsidP="009F5FD1">
            <w:pPr>
              <w:pStyle w:val="Overskrift2"/>
              <w:rPr>
                <w:rFonts w:asciiTheme="minorHAnsi" w:eastAsiaTheme="minorHAnsi" w:hAnsiTheme="minorHAnsi" w:cstheme="minorBidi"/>
                <w:b w:val="0"/>
                <w:bCs w:val="0"/>
                <w:smallCaps w:val="0"/>
                <w:szCs w:val="22"/>
                <w:lang w:eastAsia="en-US"/>
              </w:rPr>
            </w:pPr>
            <w:r w:rsidRPr="009F5FD1">
              <w:rPr>
                <w:rFonts w:asciiTheme="minorHAnsi" w:eastAsiaTheme="minorHAnsi" w:hAnsiTheme="minorHAnsi" w:cstheme="minorBidi"/>
                <w:b w:val="0"/>
                <w:bCs w:val="0"/>
                <w:smallCaps w:val="0"/>
                <w:szCs w:val="22"/>
                <w:lang w:eastAsia="en-US"/>
              </w:rPr>
              <w:t>Underleverandør som er godkjent skal angis i bilag 4.</w:t>
            </w:r>
          </w:p>
          <w:p w:rsidR="009F5FD1" w:rsidRPr="009B3691" w:rsidRDefault="009F5FD1" w:rsidP="009B3691"/>
        </w:tc>
        <w:tc>
          <w:tcPr>
            <w:tcW w:w="834" w:type="dxa"/>
          </w:tcPr>
          <w:p w:rsidR="009F5FD1" w:rsidRPr="002E03C3" w:rsidRDefault="009F5FD1" w:rsidP="000754F3">
            <w:pPr>
              <w:rPr>
                <w:b/>
                <w:bCs/>
              </w:rPr>
            </w:pPr>
            <w:r>
              <w:rPr>
                <w:b/>
                <w:bCs/>
              </w:rPr>
              <w:t xml:space="preserve">3.3 </w:t>
            </w:r>
            <w:r w:rsidR="003967A4">
              <w:rPr>
                <w:b/>
                <w:bCs/>
              </w:rPr>
              <w:t>(nytt andre avsnitt)</w:t>
            </w:r>
          </w:p>
        </w:tc>
        <w:tc>
          <w:tcPr>
            <w:tcW w:w="6115" w:type="dxa"/>
          </w:tcPr>
          <w:p w:rsidR="009F5FD1" w:rsidRDefault="009F5FD1" w:rsidP="000754F3">
            <w:pPr>
              <w:pStyle w:val="Overskrift2"/>
              <w:rPr>
                <w:rFonts w:asciiTheme="minorHAnsi" w:eastAsiaTheme="minorHAnsi" w:hAnsiTheme="minorHAnsi" w:cstheme="minorBidi"/>
                <w:bCs w:val="0"/>
                <w:smallCaps w:val="0"/>
                <w:szCs w:val="22"/>
                <w:lang w:eastAsia="en-US"/>
              </w:rPr>
            </w:pPr>
            <w:r w:rsidRPr="009F5FD1">
              <w:rPr>
                <w:rFonts w:asciiTheme="minorHAnsi" w:eastAsiaTheme="minorHAnsi" w:hAnsiTheme="minorHAnsi" w:cstheme="minorBidi"/>
                <w:bCs w:val="0"/>
                <w:smallCaps w:val="0"/>
                <w:szCs w:val="22"/>
                <w:lang w:eastAsia="en-US"/>
              </w:rPr>
              <w:t>Bruk av underleverandører</w:t>
            </w:r>
            <w:r>
              <w:rPr>
                <w:rFonts w:asciiTheme="minorHAnsi" w:eastAsiaTheme="minorHAnsi" w:hAnsiTheme="minorHAnsi" w:cstheme="minorBidi"/>
                <w:bCs w:val="0"/>
                <w:smallCaps w:val="0"/>
                <w:szCs w:val="22"/>
                <w:lang w:eastAsia="en-US"/>
              </w:rPr>
              <w:t xml:space="preserve"> </w:t>
            </w:r>
          </w:p>
          <w:p w:rsidR="009F5FD1" w:rsidRPr="009F5FD1" w:rsidRDefault="009F5FD1" w:rsidP="000754F3">
            <w:pPr>
              <w:pStyle w:val="Overskrift2"/>
              <w:rPr>
                <w:rFonts w:asciiTheme="minorHAnsi" w:eastAsiaTheme="minorHAnsi" w:hAnsiTheme="minorHAnsi" w:cstheme="minorBidi"/>
                <w:b w:val="0"/>
                <w:bCs w:val="0"/>
                <w:smallCaps w:val="0"/>
                <w:szCs w:val="22"/>
                <w:lang w:eastAsia="en-US"/>
              </w:rPr>
            </w:pPr>
          </w:p>
          <w:p w:rsidR="009F5FD1" w:rsidRDefault="009F5FD1" w:rsidP="009F5FD1">
            <w:pPr>
              <w:pStyle w:val="Overskrift2"/>
              <w:rPr>
                <w:rFonts w:asciiTheme="minorHAnsi" w:eastAsiaTheme="minorHAnsi" w:hAnsiTheme="minorHAnsi" w:cstheme="minorBidi"/>
                <w:b w:val="0"/>
                <w:bCs w:val="0"/>
                <w:smallCaps w:val="0"/>
                <w:szCs w:val="22"/>
                <w:lang w:eastAsia="en-US"/>
              </w:rPr>
            </w:pPr>
            <w:r w:rsidRPr="009F5FD1">
              <w:rPr>
                <w:rFonts w:asciiTheme="minorHAnsi" w:eastAsiaTheme="minorHAnsi" w:hAnsiTheme="minorHAnsi" w:cstheme="minorBidi"/>
                <w:b w:val="0"/>
                <w:bCs w:val="0"/>
                <w:smallCaps w:val="0"/>
                <w:szCs w:val="22"/>
                <w:lang w:eastAsia="en-US"/>
              </w:rPr>
              <w:t xml:space="preserve">Konsulentens bruk og utskifting av eventuell underleverandør skal godkjennes skriftlig av Kunden. Godkjennelse kan ikke nektes uten saklig grunn. </w:t>
            </w:r>
          </w:p>
          <w:p w:rsidR="009F5FD1" w:rsidRPr="009F5FD1" w:rsidRDefault="009F5FD1" w:rsidP="009F5FD1">
            <w:pPr>
              <w:pStyle w:val="Overskrift2"/>
              <w:rPr>
                <w:rFonts w:asciiTheme="minorHAnsi" w:eastAsiaTheme="minorHAnsi" w:hAnsiTheme="minorHAnsi" w:cstheme="minorBidi"/>
                <w:b w:val="0"/>
                <w:bCs w:val="0"/>
                <w:i/>
                <w:smallCaps w:val="0"/>
                <w:szCs w:val="22"/>
                <w:lang w:eastAsia="en-US"/>
              </w:rPr>
            </w:pPr>
          </w:p>
          <w:p w:rsidR="009F5FD1" w:rsidRPr="009F5FD1" w:rsidRDefault="009F5FD1" w:rsidP="009F5FD1">
            <w:pPr>
              <w:pStyle w:val="Overskrift2"/>
              <w:rPr>
                <w:rFonts w:asciiTheme="minorHAnsi" w:eastAsiaTheme="minorHAnsi" w:hAnsiTheme="minorHAnsi" w:cstheme="minorBidi"/>
                <w:b w:val="0"/>
                <w:bCs w:val="0"/>
                <w:i/>
                <w:smallCaps w:val="0"/>
                <w:szCs w:val="22"/>
                <w:lang w:eastAsia="en-US"/>
              </w:rPr>
            </w:pPr>
            <w:r w:rsidRPr="009F5FD1">
              <w:rPr>
                <w:rFonts w:asciiTheme="minorHAnsi" w:eastAsiaTheme="minorHAnsi" w:hAnsiTheme="minorHAnsi" w:cstheme="minorBidi"/>
                <w:b w:val="0"/>
                <w:bCs w:val="0"/>
                <w:i/>
                <w:smallCaps w:val="0"/>
                <w:szCs w:val="22"/>
                <w:lang w:eastAsia="en-US"/>
              </w:rPr>
              <w:t>Dersom anskaffelsen er underlagt regelverket for offentlige anskaffelser, gjelder bestemmelsen kun i den grad Kunden finner dette i tråd med anskaffelsesregelverket</w:t>
            </w:r>
            <w:r>
              <w:rPr>
                <w:rFonts w:asciiTheme="minorHAnsi" w:eastAsiaTheme="minorHAnsi" w:hAnsiTheme="minorHAnsi" w:cstheme="minorBidi"/>
                <w:b w:val="0"/>
                <w:bCs w:val="0"/>
                <w:i/>
                <w:smallCaps w:val="0"/>
                <w:szCs w:val="22"/>
                <w:lang w:eastAsia="en-US"/>
              </w:rPr>
              <w:t xml:space="preserve">. </w:t>
            </w:r>
          </w:p>
          <w:p w:rsidR="009F5FD1" w:rsidRPr="009F5FD1" w:rsidRDefault="009F5FD1" w:rsidP="000754F3">
            <w:pPr>
              <w:pStyle w:val="Overskrift2"/>
              <w:rPr>
                <w:rFonts w:asciiTheme="minorHAnsi" w:eastAsiaTheme="minorHAnsi" w:hAnsiTheme="minorHAnsi" w:cstheme="minorBidi"/>
                <w:b w:val="0"/>
                <w:bCs w:val="0"/>
                <w:smallCaps w:val="0"/>
                <w:szCs w:val="22"/>
                <w:lang w:eastAsia="en-US"/>
              </w:rPr>
            </w:pPr>
          </w:p>
          <w:p w:rsidR="009F5FD1" w:rsidRPr="009F5FD1" w:rsidRDefault="009F5FD1" w:rsidP="009F5FD1">
            <w:pPr>
              <w:pStyle w:val="Overskrift2"/>
            </w:pPr>
            <w:r w:rsidRPr="009F5FD1">
              <w:rPr>
                <w:rFonts w:asciiTheme="minorHAnsi" w:eastAsiaTheme="minorHAnsi" w:hAnsiTheme="minorHAnsi" w:cstheme="minorBidi"/>
                <w:b w:val="0"/>
                <w:bCs w:val="0"/>
                <w:smallCaps w:val="0"/>
                <w:szCs w:val="22"/>
                <w:lang w:eastAsia="en-US"/>
              </w:rPr>
              <w:t>Underleverandør som er godkjent skal angis i bilag 4.</w:t>
            </w:r>
            <w:r>
              <w:rPr>
                <w:rFonts w:asciiTheme="minorHAnsi" w:eastAsiaTheme="minorHAnsi" w:hAnsiTheme="minorHAnsi" w:cstheme="minorBidi"/>
                <w:b w:val="0"/>
                <w:bCs w:val="0"/>
                <w:smallCaps w:val="0"/>
                <w:szCs w:val="22"/>
                <w:lang w:eastAsia="en-US"/>
              </w:rPr>
              <w:t xml:space="preserve">  </w:t>
            </w:r>
            <w:r>
              <w:rPr>
                <w:rFonts w:asciiTheme="minorHAnsi" w:eastAsiaTheme="minorHAnsi" w:hAnsiTheme="minorHAnsi" w:cstheme="minorBidi"/>
                <w:b w:val="0"/>
                <w:bCs w:val="0"/>
                <w:smallCaps w:val="0"/>
                <w:szCs w:val="22"/>
                <w:lang w:eastAsia="en-US"/>
              </w:rPr>
              <w:br/>
            </w:r>
          </w:p>
        </w:tc>
      </w:tr>
      <w:tr w:rsidR="001B3DFB" w:rsidRPr="002E03C3" w:rsidTr="002B71FE">
        <w:tc>
          <w:tcPr>
            <w:tcW w:w="834" w:type="dxa"/>
          </w:tcPr>
          <w:p w:rsidR="001B3DFB" w:rsidRDefault="001B3DFB" w:rsidP="009F5FD1">
            <w:pPr>
              <w:rPr>
                <w:b/>
                <w:bCs/>
              </w:rPr>
            </w:pPr>
            <w:r>
              <w:rPr>
                <w:b/>
                <w:bCs/>
              </w:rPr>
              <w:lastRenderedPageBreak/>
              <w:t>8.5.2 (første og andre avsnitt)</w:t>
            </w:r>
          </w:p>
        </w:tc>
        <w:tc>
          <w:tcPr>
            <w:tcW w:w="6359" w:type="dxa"/>
          </w:tcPr>
          <w:p w:rsidR="001B3DFB" w:rsidRPr="001B3DFB" w:rsidRDefault="001B3DFB" w:rsidP="001B3DFB">
            <w:pPr>
              <w:rPr>
                <w:b/>
              </w:rPr>
            </w:pPr>
            <w:r w:rsidRPr="001B3DFB">
              <w:rPr>
                <w:b/>
              </w:rPr>
              <w:t>Dagbot ved forsinkelse</w:t>
            </w:r>
          </w:p>
          <w:p w:rsidR="001B3DFB" w:rsidRDefault="001B3DFB" w:rsidP="001B3DFB">
            <w:r>
              <w:t>Blir ikke avtalt tidspunkt for levering, eller annen frist som partene i bilag 3 har knyttet dagbøter til, overholdt, og det ikke skyldes force majeure eller Kundens forhold, foreligger en forsinkelse fra Konsulentens side som gir grunnlag for dagbot.</w:t>
            </w:r>
          </w:p>
          <w:p w:rsidR="001B3DFB" w:rsidRPr="001B3DFB" w:rsidRDefault="001B3DFB" w:rsidP="001B3DFB">
            <w:r>
              <w:t>Dagboten påløper automatisk. Dagboten utgjør 0,15 prosent av samlet vederlag for leveransen (kontraktssummen) ekskl. merverdiavgift for hver kalenderdag forsinkelsen varer, men begrenset til maksimalt 100 (hundre) kalenderdager.</w:t>
            </w:r>
          </w:p>
        </w:tc>
        <w:tc>
          <w:tcPr>
            <w:tcW w:w="834" w:type="dxa"/>
          </w:tcPr>
          <w:p w:rsidR="001B3DFB" w:rsidRDefault="001B3DFB" w:rsidP="003C56BC">
            <w:pPr>
              <w:rPr>
                <w:b/>
                <w:bCs/>
              </w:rPr>
            </w:pPr>
            <w:r>
              <w:rPr>
                <w:b/>
                <w:bCs/>
              </w:rPr>
              <w:t>8.5.2 (</w:t>
            </w:r>
            <w:r w:rsidR="003C56BC">
              <w:rPr>
                <w:b/>
                <w:bCs/>
              </w:rPr>
              <w:t>nytt</w:t>
            </w:r>
            <w:r>
              <w:rPr>
                <w:b/>
                <w:bCs/>
              </w:rPr>
              <w:t xml:space="preserve"> andre avsnitt)</w:t>
            </w:r>
          </w:p>
        </w:tc>
        <w:tc>
          <w:tcPr>
            <w:tcW w:w="6115" w:type="dxa"/>
          </w:tcPr>
          <w:p w:rsidR="001B3DFB" w:rsidRPr="001B3DFB" w:rsidRDefault="001B3DFB" w:rsidP="000754F3">
            <w:pPr>
              <w:rPr>
                <w:b/>
              </w:rPr>
            </w:pPr>
            <w:r w:rsidRPr="001B3DFB">
              <w:rPr>
                <w:b/>
              </w:rPr>
              <w:t>Dagbot ved forsinkelse</w:t>
            </w:r>
          </w:p>
          <w:p w:rsidR="001B3DFB" w:rsidRDefault="001B3DFB" w:rsidP="000754F3">
            <w:r>
              <w:t>Blir ikke avtalt tidspunkt for levering, eller annen frist som partene i bilag 3 har knyttet dagbøter til, overholdt, og det ikke skyldes force majeure eller Kundens forhold, foreligger en forsinkelse fra Konsulentens side som gir grunnlag for dagbot.</w:t>
            </w:r>
          </w:p>
          <w:p w:rsidR="003C56BC" w:rsidRPr="003C56BC" w:rsidRDefault="003C56BC" w:rsidP="000754F3">
            <w:pPr>
              <w:rPr>
                <w:i/>
              </w:rPr>
            </w:pPr>
            <w:r w:rsidRPr="003C56BC">
              <w:rPr>
                <w:i/>
              </w:rPr>
              <w:t>Dersom Konsulenten før levering er forsinket til milepæler som partene har knyttet dagbøter til, så forskyves de senere frister tilsvarende det antall kalenderdager dagboten har løpt.</w:t>
            </w:r>
          </w:p>
          <w:p w:rsidR="001B3DFB" w:rsidRPr="001B3DFB" w:rsidRDefault="001B3DFB" w:rsidP="000754F3">
            <w:r>
              <w:t>Dagboten påløper automatisk. Dagboten utgjør 0,15 prosent av samlet vederlag for leveransen (kontraktssummen) ekskl. merverdiavgift for hver kalenderdag forsinkelsen varer, men begrenset til maksimalt 100 (hundre) kalenderdager.</w:t>
            </w:r>
          </w:p>
        </w:tc>
      </w:tr>
      <w:tr w:rsidR="002B71FE" w:rsidRPr="002E03C3" w:rsidTr="002B71FE">
        <w:tc>
          <w:tcPr>
            <w:tcW w:w="834" w:type="dxa"/>
          </w:tcPr>
          <w:p w:rsidR="002B71FE" w:rsidRPr="002E03C3" w:rsidRDefault="003C56BC" w:rsidP="002E03C3">
            <w:pPr>
              <w:rPr>
                <w:b/>
                <w:bCs/>
              </w:rPr>
            </w:pPr>
            <w:r>
              <w:rPr>
                <w:b/>
                <w:bCs/>
              </w:rPr>
              <w:t>8.5.5</w:t>
            </w:r>
          </w:p>
        </w:tc>
        <w:tc>
          <w:tcPr>
            <w:tcW w:w="6359" w:type="dxa"/>
          </w:tcPr>
          <w:p w:rsidR="00F761CC" w:rsidRPr="00F761CC" w:rsidRDefault="003C56BC" w:rsidP="00F761CC">
            <w:pPr>
              <w:rPr>
                <w:b/>
                <w:bCs/>
              </w:rPr>
            </w:pPr>
            <w:r>
              <w:rPr>
                <w:b/>
                <w:bCs/>
              </w:rPr>
              <w:t>E</w:t>
            </w:r>
            <w:r w:rsidR="00F761CC" w:rsidRPr="00F761CC">
              <w:rPr>
                <w:b/>
                <w:bCs/>
              </w:rPr>
              <w:t>rstatning</w:t>
            </w:r>
          </w:p>
          <w:p w:rsidR="002F5115" w:rsidRPr="002F5115" w:rsidRDefault="002F5115" w:rsidP="002F5115">
            <w:pPr>
              <w:rPr>
                <w:bCs/>
              </w:rPr>
            </w:pPr>
            <w:r w:rsidRPr="002F5115">
              <w:rPr>
                <w:bCs/>
              </w:rPr>
              <w:t>Kunden kan kreve erstattet ethvert direkte tap som med rimelighet kan tilbakeføres til forsinkelse, mangel eller annet mislighold fra Konsulentens side, med mindre Konsulenten godtgjør at misligholdet eller årsaken til misligholdet ikke skyldes Konsulenten.</w:t>
            </w:r>
          </w:p>
          <w:p w:rsidR="00AD4454" w:rsidRPr="002E03C3" w:rsidRDefault="002F5115" w:rsidP="002F5115">
            <w:r w:rsidRPr="002F5115">
              <w:rPr>
                <w:bCs/>
              </w:rPr>
              <w:t>Dagbøter kommer til fradrag i eventuell erstatningen for samme forsinkelse.</w:t>
            </w:r>
          </w:p>
        </w:tc>
        <w:tc>
          <w:tcPr>
            <w:tcW w:w="834" w:type="dxa"/>
          </w:tcPr>
          <w:p w:rsidR="002B71FE" w:rsidRPr="002E03C3" w:rsidRDefault="003C56BC" w:rsidP="00F761CC">
            <w:pPr>
              <w:rPr>
                <w:b/>
                <w:bCs/>
              </w:rPr>
            </w:pPr>
            <w:r>
              <w:rPr>
                <w:b/>
                <w:bCs/>
              </w:rPr>
              <w:t>8.5.5</w:t>
            </w:r>
          </w:p>
        </w:tc>
        <w:tc>
          <w:tcPr>
            <w:tcW w:w="6115" w:type="dxa"/>
          </w:tcPr>
          <w:p w:rsidR="0051510E" w:rsidRPr="002F5115" w:rsidRDefault="0051510E" w:rsidP="0051510E">
            <w:pPr>
              <w:rPr>
                <w:b/>
                <w:bCs/>
              </w:rPr>
            </w:pPr>
            <w:r w:rsidRPr="002F5115">
              <w:rPr>
                <w:b/>
                <w:bCs/>
              </w:rPr>
              <w:t>Erstatning</w:t>
            </w:r>
          </w:p>
          <w:p w:rsidR="002F5115" w:rsidRPr="002F5115" w:rsidRDefault="002F5115" w:rsidP="002F5115">
            <w:pPr>
              <w:rPr>
                <w:bCs/>
              </w:rPr>
            </w:pPr>
            <w:r w:rsidRPr="002F5115">
              <w:rPr>
                <w:bCs/>
              </w:rPr>
              <w:t>Kunden kan kreve erstattet ethvert direkte tap</w:t>
            </w:r>
            <w:r>
              <w:t xml:space="preserve">, </w:t>
            </w:r>
            <w:r w:rsidRPr="002F5115">
              <w:rPr>
                <w:i/>
              </w:rPr>
              <w:t xml:space="preserve">herunder tap </w:t>
            </w:r>
            <w:r w:rsidRPr="0051510E">
              <w:rPr>
                <w:i/>
              </w:rPr>
              <w:t>av data så fremt datahåndtering er Leverandørens ansvar under avtalen</w:t>
            </w:r>
            <w:r>
              <w:rPr>
                <w:i/>
              </w:rPr>
              <w:t xml:space="preserve">, </w:t>
            </w:r>
            <w:r>
              <w:t xml:space="preserve">som </w:t>
            </w:r>
            <w:r w:rsidRPr="0051510E">
              <w:rPr>
                <w:i/>
              </w:rPr>
              <w:t>følger av</w:t>
            </w:r>
            <w:r w:rsidRPr="002F5115">
              <w:rPr>
                <w:bCs/>
              </w:rPr>
              <w:t xml:space="preserve"> forsinkelse, mangel eller annet </w:t>
            </w:r>
            <w:r>
              <w:rPr>
                <w:bCs/>
              </w:rPr>
              <w:t xml:space="preserve">mislighold </w:t>
            </w:r>
            <w:r w:rsidRPr="002F5115">
              <w:rPr>
                <w:bCs/>
                <w:i/>
              </w:rPr>
              <w:t>iht. punkt 8.1</w:t>
            </w:r>
            <w:r w:rsidRPr="002F5115">
              <w:rPr>
                <w:bCs/>
              </w:rPr>
              <w:t>, med mindre Konsulenten godtgjør at misligholdet eller årsaken til misligholdet ikke skyldes Konsulenten.</w:t>
            </w:r>
          </w:p>
          <w:p w:rsidR="002B71FE" w:rsidRPr="002E03C3" w:rsidRDefault="002F5115" w:rsidP="002F5115">
            <w:pPr>
              <w:rPr>
                <w:i/>
                <w:iCs/>
              </w:rPr>
            </w:pPr>
            <w:r w:rsidRPr="002F5115">
              <w:rPr>
                <w:bCs/>
              </w:rPr>
              <w:t>Dagbøter kommer til fradrag i eventuell erstatningen for samme forsinkelse.</w:t>
            </w:r>
            <w:r>
              <w:rPr>
                <w:bCs/>
              </w:rPr>
              <w:t xml:space="preserve"> </w:t>
            </w:r>
          </w:p>
        </w:tc>
      </w:tr>
      <w:tr w:rsidR="002B71FE" w:rsidRPr="002E03C3" w:rsidTr="002B71FE">
        <w:tc>
          <w:tcPr>
            <w:tcW w:w="834" w:type="dxa"/>
          </w:tcPr>
          <w:p w:rsidR="002B71FE" w:rsidRPr="00635F74" w:rsidRDefault="00FE681F" w:rsidP="002E03C3">
            <w:pPr>
              <w:rPr>
                <w:b/>
                <w:bCs/>
              </w:rPr>
            </w:pPr>
            <w:r w:rsidRPr="00635F74">
              <w:rPr>
                <w:b/>
                <w:bCs/>
              </w:rPr>
              <w:t>8.5.6</w:t>
            </w:r>
          </w:p>
        </w:tc>
        <w:tc>
          <w:tcPr>
            <w:tcW w:w="6359" w:type="dxa"/>
          </w:tcPr>
          <w:p w:rsidR="004A14E8" w:rsidRPr="00635F74" w:rsidRDefault="004A14E8" w:rsidP="004A14E8">
            <w:pPr>
              <w:rPr>
                <w:b/>
                <w:bCs/>
              </w:rPr>
            </w:pPr>
            <w:r w:rsidRPr="00635F74">
              <w:rPr>
                <w:b/>
                <w:bCs/>
              </w:rPr>
              <w:t>Erstatningsbegrensning</w:t>
            </w:r>
          </w:p>
          <w:p w:rsidR="00FE681F" w:rsidRPr="00635F74" w:rsidRDefault="00FE681F" w:rsidP="00FE681F">
            <w:r w:rsidRPr="00635F74">
              <w:t xml:space="preserve">Erstatning for indirekte tap kan ikke kreves. Tap av data anses som indirekte tap, bortsett fra hvor dette skyldes datahåndtering som er </w:t>
            </w:r>
            <w:r w:rsidRPr="00635F74">
              <w:lastRenderedPageBreak/>
              <w:t>Konsulentens ansvar under avtalen.</w:t>
            </w:r>
          </w:p>
          <w:p w:rsidR="00FE681F" w:rsidRPr="00635F74" w:rsidRDefault="00FE681F" w:rsidP="00FE681F">
            <w:r w:rsidRPr="00635F74">
              <w:t>Samlet erstatning i avtaleperioden er begrenset til et beløp som tilsvarer kontraktssummen ekskl. merverdiavgift eller et avtalt estimat for Oppdraget.</w:t>
            </w:r>
          </w:p>
          <w:p w:rsidR="00C1369C" w:rsidRPr="00635F74" w:rsidRDefault="00FE681F" w:rsidP="00FE681F">
            <w:pPr>
              <w:rPr>
                <w:bCs/>
              </w:rPr>
            </w:pPr>
            <w:r w:rsidRPr="00635F74">
              <w:t xml:space="preserve">Disse begrensningene gjelder imidlertid ikke hvis Konsulenten eller noen denne svarer for, har utvist grov uaktsomhet eller forsett. </w:t>
            </w:r>
          </w:p>
          <w:p w:rsidR="002B71FE" w:rsidRPr="00635F74" w:rsidRDefault="002B71FE" w:rsidP="004A14E8"/>
        </w:tc>
        <w:tc>
          <w:tcPr>
            <w:tcW w:w="834" w:type="dxa"/>
          </w:tcPr>
          <w:p w:rsidR="002B71FE" w:rsidRPr="00635F74" w:rsidRDefault="00FE681F" w:rsidP="002E03C3">
            <w:pPr>
              <w:rPr>
                <w:b/>
                <w:bCs/>
              </w:rPr>
            </w:pPr>
            <w:r w:rsidRPr="00635F74">
              <w:rPr>
                <w:b/>
                <w:bCs/>
              </w:rPr>
              <w:lastRenderedPageBreak/>
              <w:t>8.5.6</w:t>
            </w:r>
          </w:p>
        </w:tc>
        <w:tc>
          <w:tcPr>
            <w:tcW w:w="6115" w:type="dxa"/>
          </w:tcPr>
          <w:p w:rsidR="004A14E8" w:rsidRPr="00635F74" w:rsidRDefault="004A14E8" w:rsidP="004A14E8">
            <w:pPr>
              <w:rPr>
                <w:b/>
                <w:bCs/>
              </w:rPr>
            </w:pPr>
            <w:r w:rsidRPr="00635F74">
              <w:rPr>
                <w:b/>
                <w:bCs/>
              </w:rPr>
              <w:t>Erstatningsbegrensning</w:t>
            </w:r>
          </w:p>
          <w:p w:rsidR="00F761CC" w:rsidRPr="00635F74" w:rsidRDefault="00F761CC" w:rsidP="00F761CC">
            <w:pPr>
              <w:rPr>
                <w:i/>
              </w:rPr>
            </w:pPr>
            <w:r w:rsidRPr="00635F74">
              <w:t xml:space="preserve">Erstatning for indirekte tap kan ikke kreves. </w:t>
            </w:r>
            <w:r w:rsidRPr="00635F74">
              <w:rPr>
                <w:i/>
              </w:rPr>
              <w:t xml:space="preserve">Som indirekte tap </w:t>
            </w:r>
            <w:r w:rsidRPr="00635F74">
              <w:rPr>
                <w:i/>
              </w:rPr>
              <w:lastRenderedPageBreak/>
              <w:t>regnes tap som nevnt i kjøpslovens § 67 andre ledd.</w:t>
            </w:r>
          </w:p>
          <w:p w:rsidR="00F761CC" w:rsidRPr="00635F74" w:rsidRDefault="00F761CC" w:rsidP="00F761CC">
            <w:r w:rsidRPr="00635F74">
              <w:rPr>
                <w:i/>
              </w:rPr>
              <w:t>Erstatningsbegrensningene foran i denne bestemmelsen gjelder ikke kostnader ved vanlige tiltak som kompenserer at Leveransen er forsinket eller har mangler, og kostnader ved tiltak som begrenser annet tap enn nevnt over.</w:t>
            </w:r>
          </w:p>
          <w:p w:rsidR="00635F74" w:rsidRPr="00635F74" w:rsidRDefault="00635F74" w:rsidP="00635F74">
            <w:r w:rsidRPr="00635F74">
              <w:t>Samlet erstatning i avtaleperioden er begrenset til et beløp som tilsvarer kontraktssummen ekskl. merverdiavgift eller et avtalt estimat for Oppdraget.</w:t>
            </w:r>
          </w:p>
          <w:p w:rsidR="002B71FE" w:rsidRPr="00635F74" w:rsidRDefault="00635F74" w:rsidP="00635F74">
            <w:pPr>
              <w:rPr>
                <w:i/>
                <w:iCs/>
              </w:rPr>
            </w:pPr>
            <w:r w:rsidRPr="00635F74">
              <w:t xml:space="preserve">Disse begrensningene gjelder imidlertid ikke hvis Konsulenten eller noen denne svarer for, har utvist grov uaktsomhet eller forsett. </w:t>
            </w:r>
          </w:p>
        </w:tc>
      </w:tr>
      <w:tr w:rsidR="00346A74" w:rsidRPr="002E03C3" w:rsidTr="002B71FE">
        <w:tc>
          <w:tcPr>
            <w:tcW w:w="834" w:type="dxa"/>
          </w:tcPr>
          <w:p w:rsidR="00635F74" w:rsidRPr="00635F74" w:rsidRDefault="00635F74" w:rsidP="002E03C3">
            <w:pPr>
              <w:rPr>
                <w:b/>
                <w:bCs/>
              </w:rPr>
            </w:pPr>
            <w:r>
              <w:rPr>
                <w:b/>
                <w:bCs/>
              </w:rPr>
              <w:lastRenderedPageBreak/>
              <w:t>9.4</w:t>
            </w:r>
          </w:p>
        </w:tc>
        <w:tc>
          <w:tcPr>
            <w:tcW w:w="6359" w:type="dxa"/>
          </w:tcPr>
          <w:p w:rsidR="00635F74" w:rsidRDefault="00635F74" w:rsidP="004A14E8">
            <w:pPr>
              <w:rPr>
                <w:b/>
                <w:bCs/>
              </w:rPr>
            </w:pPr>
            <w:r>
              <w:rPr>
                <w:b/>
                <w:bCs/>
              </w:rPr>
              <w:t>Erstatning</w:t>
            </w:r>
          </w:p>
          <w:p w:rsidR="00407EC6" w:rsidRPr="00407EC6" w:rsidRDefault="00407EC6" w:rsidP="00407EC6">
            <w:pPr>
              <w:rPr>
                <w:bCs/>
              </w:rPr>
            </w:pPr>
            <w:r w:rsidRPr="00407EC6">
              <w:rPr>
                <w:bCs/>
              </w:rPr>
              <w:t>Konsulenten kan kreve erstattet ethvert direkte tap som med rimelighet kan tilbakeføres til misligholdet, med mindre Kunden kan godtgjøre at misligholdet ikke kan tilskrives Kunden.</w:t>
            </w:r>
          </w:p>
          <w:p w:rsidR="00635F74" w:rsidRPr="00635F74" w:rsidRDefault="00407EC6" w:rsidP="00407EC6">
            <w:pPr>
              <w:rPr>
                <w:b/>
                <w:bCs/>
              </w:rPr>
            </w:pPr>
            <w:r w:rsidRPr="00407EC6">
              <w:rPr>
                <w:bCs/>
              </w:rPr>
              <w:t>Erstatningsbegrensningen i punkt 8.5.6 gjelder tilsvarende.</w:t>
            </w:r>
          </w:p>
        </w:tc>
        <w:tc>
          <w:tcPr>
            <w:tcW w:w="834" w:type="dxa"/>
          </w:tcPr>
          <w:p w:rsidR="00635F74" w:rsidRPr="00635F74" w:rsidRDefault="00407EC6" w:rsidP="002E03C3">
            <w:pPr>
              <w:rPr>
                <w:b/>
                <w:bCs/>
              </w:rPr>
            </w:pPr>
            <w:r>
              <w:rPr>
                <w:b/>
                <w:bCs/>
              </w:rPr>
              <w:t>9.4</w:t>
            </w:r>
          </w:p>
        </w:tc>
        <w:tc>
          <w:tcPr>
            <w:tcW w:w="6115" w:type="dxa"/>
          </w:tcPr>
          <w:p w:rsidR="00407EC6" w:rsidRDefault="00407EC6" w:rsidP="00407EC6">
            <w:pPr>
              <w:rPr>
                <w:b/>
                <w:bCs/>
              </w:rPr>
            </w:pPr>
            <w:r>
              <w:rPr>
                <w:b/>
                <w:bCs/>
              </w:rPr>
              <w:t>Erstatning</w:t>
            </w:r>
          </w:p>
          <w:p w:rsidR="00407EC6" w:rsidRPr="00407EC6" w:rsidRDefault="00407EC6" w:rsidP="00407EC6">
            <w:pPr>
              <w:rPr>
                <w:bCs/>
              </w:rPr>
            </w:pPr>
            <w:r w:rsidRPr="00407EC6">
              <w:rPr>
                <w:bCs/>
              </w:rPr>
              <w:t xml:space="preserve">Konsulenten kan kreve erstattet ethvert direkte tap som </w:t>
            </w:r>
            <w:r w:rsidRPr="00407EC6">
              <w:rPr>
                <w:bCs/>
                <w:i/>
              </w:rPr>
              <w:t xml:space="preserve">følger av </w:t>
            </w:r>
            <w:r w:rsidRPr="00407EC6">
              <w:rPr>
                <w:bCs/>
              </w:rPr>
              <w:t>mislighold</w:t>
            </w:r>
            <w:r>
              <w:rPr>
                <w:bCs/>
              </w:rPr>
              <w:t xml:space="preserve"> </w:t>
            </w:r>
            <w:r w:rsidRPr="00407EC6">
              <w:rPr>
                <w:bCs/>
                <w:i/>
              </w:rPr>
              <w:t>iht. punkt 9.1</w:t>
            </w:r>
            <w:r w:rsidRPr="00407EC6">
              <w:rPr>
                <w:bCs/>
              </w:rPr>
              <w:t>, med mindre Kunden kan godtgjøre at misligholdet ikke kan tilskrives Kunden.</w:t>
            </w:r>
          </w:p>
          <w:p w:rsidR="00635F74" w:rsidRPr="00635F74" w:rsidRDefault="00407EC6" w:rsidP="00407EC6">
            <w:pPr>
              <w:rPr>
                <w:b/>
                <w:bCs/>
              </w:rPr>
            </w:pPr>
            <w:r w:rsidRPr="00407EC6">
              <w:rPr>
                <w:bCs/>
              </w:rPr>
              <w:t>Erstatningsbegrensningen i punkt 8.5.6 gjelder tilsvarende.</w:t>
            </w:r>
          </w:p>
        </w:tc>
      </w:tr>
      <w:tr w:rsidR="00CC4FD2" w:rsidRPr="002E03C3" w:rsidTr="002B71FE">
        <w:tc>
          <w:tcPr>
            <w:tcW w:w="834" w:type="dxa"/>
          </w:tcPr>
          <w:p w:rsidR="00CC4FD2" w:rsidRDefault="00346A74" w:rsidP="002E03C3">
            <w:pPr>
              <w:rPr>
                <w:b/>
                <w:bCs/>
              </w:rPr>
            </w:pPr>
            <w:r>
              <w:rPr>
                <w:b/>
                <w:bCs/>
              </w:rPr>
              <w:t>10</w:t>
            </w:r>
            <w:r w:rsidR="003B79F7">
              <w:rPr>
                <w:b/>
                <w:bCs/>
              </w:rPr>
              <w:t>.2</w:t>
            </w:r>
          </w:p>
          <w:p w:rsidR="00CC4FD2" w:rsidRDefault="00B32551" w:rsidP="00346A74">
            <w:pPr>
              <w:rPr>
                <w:b/>
                <w:bCs/>
              </w:rPr>
            </w:pPr>
            <w:r>
              <w:rPr>
                <w:b/>
                <w:bCs/>
              </w:rPr>
              <w:t>(</w:t>
            </w:r>
            <w:r w:rsidR="00346A74">
              <w:rPr>
                <w:b/>
                <w:bCs/>
              </w:rPr>
              <w:t xml:space="preserve">siste </w:t>
            </w:r>
            <w:r w:rsidR="00CC4FD2">
              <w:rPr>
                <w:b/>
                <w:bCs/>
              </w:rPr>
              <w:t>avsnitt)</w:t>
            </w:r>
          </w:p>
        </w:tc>
        <w:tc>
          <w:tcPr>
            <w:tcW w:w="6359" w:type="dxa"/>
          </w:tcPr>
          <w:p w:rsidR="00CC4FD2" w:rsidRPr="00CC4FD2" w:rsidRDefault="00CC4FD2" w:rsidP="00CC4FD2">
            <w:pPr>
              <w:tabs>
                <w:tab w:val="num" w:pos="907"/>
              </w:tabs>
              <w:rPr>
                <w:b/>
                <w:bCs/>
              </w:rPr>
            </w:pPr>
            <w:bookmarkStart w:id="2" w:name="_Toc328659298"/>
            <w:r w:rsidRPr="00CC4FD2">
              <w:rPr>
                <w:b/>
                <w:bCs/>
              </w:rPr>
              <w:t>Overdragelse av rettigheter og plikter</w:t>
            </w:r>
            <w:bookmarkEnd w:id="2"/>
          </w:p>
          <w:p w:rsidR="00CC4FD2" w:rsidRPr="00D05265" w:rsidRDefault="00346A74" w:rsidP="00346A74">
            <w:pPr>
              <w:rPr>
                <w:b/>
              </w:rPr>
            </w:pPr>
            <w:r w:rsidRPr="00346A74">
              <w:t>Retten til vederlag etter denne avtalen kan fritt overdras. Slik overdragelse fritar ikke vedkommende part fra hans forpliktelse og ansvar.</w:t>
            </w:r>
          </w:p>
        </w:tc>
        <w:tc>
          <w:tcPr>
            <w:tcW w:w="834" w:type="dxa"/>
          </w:tcPr>
          <w:p w:rsidR="00CC4FD2" w:rsidRDefault="00C42111" w:rsidP="00B32551">
            <w:pPr>
              <w:rPr>
                <w:b/>
                <w:bCs/>
              </w:rPr>
            </w:pPr>
            <w:r>
              <w:rPr>
                <w:b/>
                <w:bCs/>
              </w:rPr>
              <w:t>10</w:t>
            </w:r>
            <w:r w:rsidR="003B79F7">
              <w:rPr>
                <w:b/>
                <w:bCs/>
              </w:rPr>
              <w:t>.2</w:t>
            </w:r>
            <w:r w:rsidR="00CC4FD2">
              <w:rPr>
                <w:b/>
                <w:bCs/>
              </w:rPr>
              <w:t xml:space="preserve"> (nytt </w:t>
            </w:r>
            <w:r w:rsidR="00B32551">
              <w:rPr>
                <w:b/>
                <w:bCs/>
              </w:rPr>
              <w:t>siste</w:t>
            </w:r>
            <w:r w:rsidR="00CC4FD2">
              <w:rPr>
                <w:b/>
                <w:bCs/>
              </w:rPr>
              <w:t xml:space="preserve"> avsnitt)</w:t>
            </w:r>
          </w:p>
        </w:tc>
        <w:tc>
          <w:tcPr>
            <w:tcW w:w="6115" w:type="dxa"/>
          </w:tcPr>
          <w:p w:rsidR="00CC4FD2" w:rsidRPr="00CC4FD2" w:rsidRDefault="00CC4FD2" w:rsidP="00CC4FD2">
            <w:pPr>
              <w:tabs>
                <w:tab w:val="num" w:pos="907"/>
              </w:tabs>
              <w:rPr>
                <w:b/>
                <w:bCs/>
              </w:rPr>
            </w:pPr>
            <w:r w:rsidRPr="00CC4FD2">
              <w:rPr>
                <w:b/>
                <w:bCs/>
              </w:rPr>
              <w:t>Overdragelse av rettigheter og plikter</w:t>
            </w:r>
          </w:p>
          <w:p w:rsidR="00346A74" w:rsidRDefault="00346A74" w:rsidP="00B32551">
            <w:r w:rsidRPr="00346A74">
              <w:t>Retten til vederlag etter denne avtalen kan fritt overdras. Slik overdragelse fritar ikke vedkommende part fra hans forpliktelse og ansvar.</w:t>
            </w:r>
            <w:r>
              <w:t xml:space="preserve"> </w:t>
            </w:r>
          </w:p>
          <w:p w:rsidR="00CC4FD2" w:rsidRPr="00D05265" w:rsidRDefault="008C74EA" w:rsidP="00B32551">
            <w:pPr>
              <w:rPr>
                <w:b/>
              </w:rPr>
            </w:pPr>
            <w:r w:rsidRPr="008C74EA">
              <w:rPr>
                <w:i/>
              </w:rPr>
              <w:t>Dersom anskaffelsen er underlagt regelverket for offentlige anskaffelser, gjelder bestemmelsen kun i den grad Kunden finner dette i tråd med anskaffelsesregelverket.</w:t>
            </w:r>
          </w:p>
        </w:tc>
      </w:tr>
      <w:tr w:rsidR="008C74EA" w:rsidRPr="002E03C3" w:rsidTr="003B79F7">
        <w:trPr>
          <w:trHeight w:val="2106"/>
        </w:trPr>
        <w:tc>
          <w:tcPr>
            <w:tcW w:w="834" w:type="dxa"/>
          </w:tcPr>
          <w:p w:rsidR="008C74EA" w:rsidRDefault="00346A74" w:rsidP="002E03C3">
            <w:pPr>
              <w:rPr>
                <w:b/>
                <w:bCs/>
              </w:rPr>
            </w:pPr>
            <w:r>
              <w:rPr>
                <w:b/>
                <w:bCs/>
              </w:rPr>
              <w:lastRenderedPageBreak/>
              <w:t>10</w:t>
            </w:r>
            <w:r w:rsidR="003B79F7">
              <w:rPr>
                <w:b/>
                <w:bCs/>
              </w:rPr>
              <w:t>.3</w:t>
            </w:r>
          </w:p>
        </w:tc>
        <w:tc>
          <w:tcPr>
            <w:tcW w:w="6359" w:type="dxa"/>
          </w:tcPr>
          <w:p w:rsidR="008C74EA" w:rsidRPr="008C74EA" w:rsidRDefault="008C74EA" w:rsidP="008C74EA">
            <w:pPr>
              <w:tabs>
                <w:tab w:val="num" w:pos="907"/>
              </w:tabs>
              <w:rPr>
                <w:b/>
                <w:bCs/>
              </w:rPr>
            </w:pPr>
            <w:bookmarkStart w:id="3" w:name="_Toc328659299"/>
            <w:r w:rsidRPr="008C74EA">
              <w:rPr>
                <w:b/>
                <w:bCs/>
              </w:rPr>
              <w:t>Konkurs, akkord e.l.</w:t>
            </w:r>
            <w:bookmarkEnd w:id="3"/>
          </w:p>
          <w:p w:rsidR="008C74EA" w:rsidRPr="008C74EA" w:rsidRDefault="008C74EA" w:rsidP="00346A74">
            <w:pPr>
              <w:tabs>
                <w:tab w:val="num" w:pos="907"/>
              </w:tabs>
              <w:rPr>
                <w:bCs/>
              </w:rPr>
            </w:pPr>
            <w:r w:rsidRPr="008C74EA">
              <w:rPr>
                <w:bCs/>
              </w:rPr>
              <w:t xml:space="preserve">Hvis det i forbindelse med </w:t>
            </w:r>
            <w:r w:rsidR="00346A74">
              <w:rPr>
                <w:bCs/>
              </w:rPr>
              <w:t>Konsulentens</w:t>
            </w:r>
            <w:r w:rsidRPr="008C74EA">
              <w:rPr>
                <w:bCs/>
              </w:rPr>
              <w:t xml:space="preserve"> virksomhet åpnes gjeldsforhandlinger, akkord eller konkurs, eller annen form for kreditorstyring gjør seg gjeldende, har Kunden rett til å heve avtalen med øyeblikkelig virkning.</w:t>
            </w:r>
          </w:p>
        </w:tc>
        <w:tc>
          <w:tcPr>
            <w:tcW w:w="834" w:type="dxa"/>
          </w:tcPr>
          <w:p w:rsidR="008C74EA" w:rsidRDefault="00346A74" w:rsidP="002D7A9F">
            <w:pPr>
              <w:rPr>
                <w:b/>
                <w:bCs/>
              </w:rPr>
            </w:pPr>
            <w:r>
              <w:rPr>
                <w:b/>
                <w:bCs/>
              </w:rPr>
              <w:t>10</w:t>
            </w:r>
            <w:r w:rsidR="003B79F7">
              <w:rPr>
                <w:b/>
                <w:bCs/>
              </w:rPr>
              <w:t>.3</w:t>
            </w:r>
          </w:p>
        </w:tc>
        <w:tc>
          <w:tcPr>
            <w:tcW w:w="6115" w:type="dxa"/>
          </w:tcPr>
          <w:p w:rsidR="008C74EA" w:rsidRPr="008C74EA" w:rsidRDefault="008C74EA" w:rsidP="002D7A9F">
            <w:pPr>
              <w:tabs>
                <w:tab w:val="num" w:pos="907"/>
              </w:tabs>
              <w:rPr>
                <w:b/>
                <w:bCs/>
              </w:rPr>
            </w:pPr>
            <w:r w:rsidRPr="008C74EA">
              <w:rPr>
                <w:b/>
                <w:bCs/>
              </w:rPr>
              <w:t>Konkurs, akkord e.l.</w:t>
            </w:r>
          </w:p>
          <w:p w:rsidR="008C74EA" w:rsidRPr="008C74EA" w:rsidRDefault="008C74EA" w:rsidP="00346A74">
            <w:pPr>
              <w:tabs>
                <w:tab w:val="num" w:pos="907"/>
              </w:tabs>
              <w:rPr>
                <w:bCs/>
              </w:rPr>
            </w:pPr>
            <w:r w:rsidRPr="008C74EA">
              <w:rPr>
                <w:bCs/>
              </w:rPr>
              <w:t xml:space="preserve">Hvis det i forbindelse med </w:t>
            </w:r>
            <w:r w:rsidR="00346A74">
              <w:rPr>
                <w:bCs/>
              </w:rPr>
              <w:t>Konsulentens</w:t>
            </w:r>
            <w:r w:rsidRPr="008C74EA">
              <w:rPr>
                <w:bCs/>
              </w:rPr>
              <w:t xml:space="preserve"> virksomhet åpnes gjeldsforhandlinger, akkord eller konkurs, eller annen form for kreditorstyring gjør seg gjeldende, har Kunden rett til å heve avtalen med øyeblikkelig virkning</w:t>
            </w:r>
            <w:r>
              <w:rPr>
                <w:bCs/>
              </w:rPr>
              <w:t>,</w:t>
            </w:r>
            <w:r w:rsidRPr="008C74EA">
              <w:rPr>
                <w:i/>
              </w:rPr>
              <w:t xml:space="preserve"> så fremt ikke annet følger av ufravikelig lov</w:t>
            </w:r>
            <w:r w:rsidRPr="008C74EA">
              <w:rPr>
                <w:bCs/>
              </w:rPr>
              <w:t>.</w:t>
            </w:r>
          </w:p>
        </w:tc>
      </w:tr>
    </w:tbl>
    <w:p w:rsidR="00356161" w:rsidRDefault="00356161" w:rsidP="003B79F7">
      <w:bookmarkStart w:id="4" w:name="_GoBack"/>
      <w:bookmarkEnd w:id="4"/>
    </w:p>
    <w:sectPr w:rsidR="00356161">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BCB" w:rsidRDefault="00666BCB" w:rsidP="002A4AC5">
      <w:pPr>
        <w:spacing w:after="0" w:line="240" w:lineRule="auto"/>
      </w:pPr>
      <w:r>
        <w:separator/>
      </w:r>
    </w:p>
  </w:endnote>
  <w:endnote w:type="continuationSeparator" w:id="0">
    <w:p w:rsidR="00666BCB" w:rsidRDefault="00666BCB" w:rsidP="002A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BCB" w:rsidRDefault="00666BCB" w:rsidP="00666BCB">
    <w:pPr>
      <w:pStyle w:val="Bunntekst"/>
    </w:pPr>
    <w:r>
      <w:rPr>
        <w:sz w:val="20"/>
      </w:rPr>
      <w:t>SSA-</w:t>
    </w:r>
    <w:r w:rsidR="00304CBA">
      <w:rPr>
        <w:sz w:val="20"/>
      </w:rPr>
      <w:t xml:space="preserve">O </w:t>
    </w:r>
    <w:r>
      <w:rPr>
        <w:sz w:val="20"/>
      </w:rPr>
      <w:t>Endringstabell 2009-2013</w:t>
    </w:r>
    <w:r>
      <w:rPr>
        <w:sz w:val="20"/>
      </w:rPr>
      <w:tab/>
    </w:r>
    <w:r>
      <w:rPr>
        <w:sz w:val="20"/>
      </w:rPr>
      <w:tab/>
    </w:r>
    <w:r>
      <w:rPr>
        <w:sz w:val="20"/>
      </w:rPr>
      <w:tab/>
    </w:r>
    <w:r>
      <w:rPr>
        <w:sz w:val="20"/>
      </w:rPr>
      <w:tab/>
    </w:r>
    <w:r>
      <w:rPr>
        <w:sz w:val="20"/>
      </w:rPr>
      <w:tab/>
    </w:r>
    <w:r>
      <w:t xml:space="preserve"> </w:t>
    </w:r>
    <w:r>
      <w:tab/>
    </w:r>
    <w:r>
      <w:tab/>
    </w:r>
    <w:r>
      <w:tab/>
    </w:r>
    <w:sdt>
      <w:sdtPr>
        <w:id w:val="61532291"/>
        <w:docPartObj>
          <w:docPartGallery w:val="Page Numbers (Bottom of Page)"/>
          <w:docPartUnique/>
        </w:docPartObj>
      </w:sdtPr>
      <w:sdtEndPr/>
      <w:sdtContent>
        <w:sdt>
          <w:sdtPr>
            <w:id w:val="860082579"/>
            <w:docPartObj>
              <w:docPartGallery w:val="Page Numbers (Top of Page)"/>
              <w:docPartUnique/>
            </w:docPartObj>
          </w:sdtPr>
          <w:sdtEndPr/>
          <w:sdtContent>
            <w:r>
              <w:t xml:space="preserve">Side </w:t>
            </w:r>
            <w:r>
              <w:rPr>
                <w:b/>
                <w:bCs/>
                <w:sz w:val="24"/>
              </w:rPr>
              <w:fldChar w:fldCharType="begin"/>
            </w:r>
            <w:r>
              <w:rPr>
                <w:b/>
                <w:bCs/>
              </w:rPr>
              <w:instrText>PAGE</w:instrText>
            </w:r>
            <w:r>
              <w:rPr>
                <w:b/>
                <w:bCs/>
                <w:sz w:val="24"/>
              </w:rPr>
              <w:fldChar w:fldCharType="separate"/>
            </w:r>
            <w:r w:rsidR="00B137D1">
              <w:rPr>
                <w:b/>
                <w:bCs/>
                <w:noProof/>
              </w:rPr>
              <w:t>4</w:t>
            </w:r>
            <w:r>
              <w:rPr>
                <w:b/>
                <w:bCs/>
                <w:sz w:val="24"/>
              </w:rPr>
              <w:fldChar w:fldCharType="end"/>
            </w:r>
            <w:r>
              <w:t xml:space="preserve"> av </w:t>
            </w:r>
            <w:r>
              <w:rPr>
                <w:b/>
                <w:bCs/>
                <w:sz w:val="24"/>
              </w:rPr>
              <w:fldChar w:fldCharType="begin"/>
            </w:r>
            <w:r>
              <w:rPr>
                <w:b/>
                <w:bCs/>
              </w:rPr>
              <w:instrText>NUMPAGES</w:instrText>
            </w:r>
            <w:r>
              <w:rPr>
                <w:b/>
                <w:bCs/>
                <w:sz w:val="24"/>
              </w:rPr>
              <w:fldChar w:fldCharType="separate"/>
            </w:r>
            <w:r w:rsidR="00B137D1">
              <w:rPr>
                <w:b/>
                <w:bCs/>
                <w:noProof/>
              </w:rPr>
              <w:t>4</w:t>
            </w:r>
            <w:r>
              <w:rPr>
                <w:b/>
                <w:bCs/>
                <w:sz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BCB" w:rsidRDefault="00666BCB" w:rsidP="002A4AC5">
      <w:pPr>
        <w:spacing w:after="0" w:line="240" w:lineRule="auto"/>
      </w:pPr>
      <w:r>
        <w:separator/>
      </w:r>
    </w:p>
  </w:footnote>
  <w:footnote w:type="continuationSeparator" w:id="0">
    <w:p w:rsidR="00666BCB" w:rsidRDefault="00666BCB" w:rsidP="002A4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7CC875E6"/>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nsid w:val="00000004"/>
    <w:multiLevelType w:val="singleLevel"/>
    <w:tmpl w:val="00000004"/>
    <w:name w:val="WW8Num17"/>
    <w:lvl w:ilvl="0">
      <w:start w:val="1"/>
      <w:numFmt w:val="bullet"/>
      <w:lvlText w:val="-"/>
      <w:lvlJc w:val="left"/>
      <w:pPr>
        <w:tabs>
          <w:tab w:val="num" w:pos="1069"/>
        </w:tabs>
        <w:ind w:left="1069" w:hanging="360"/>
      </w:pPr>
      <w:rPr>
        <w:rFonts w:ascii="OpenSymbol" w:hAnsi="OpenSymbol"/>
      </w:rPr>
    </w:lvl>
  </w:abstractNum>
  <w:abstractNum w:abstractNumId="2">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3">
    <w:nsid w:val="17F5402D"/>
    <w:multiLevelType w:val="hybridMultilevel"/>
    <w:tmpl w:val="8F728DA6"/>
    <w:lvl w:ilvl="0" w:tplc="A4B43FF0">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nsid w:val="1BCD38BA"/>
    <w:multiLevelType w:val="singleLevel"/>
    <w:tmpl w:val="0000000C"/>
    <w:lvl w:ilvl="0">
      <w:start w:val="1"/>
      <w:numFmt w:val="lowerLetter"/>
      <w:lvlText w:val="%1."/>
      <w:lvlJc w:val="left"/>
      <w:pPr>
        <w:tabs>
          <w:tab w:val="num" w:pos="1069"/>
        </w:tabs>
        <w:ind w:left="1069" w:hanging="360"/>
      </w:pPr>
      <w:rPr>
        <w:rFonts w:ascii="Times New Roman" w:hAnsi="Times New Roman" w:cs="Times New Roman"/>
      </w:rPr>
    </w:lvl>
  </w:abstractNum>
  <w:abstractNum w:abstractNumId="5">
    <w:nsid w:val="2144674D"/>
    <w:multiLevelType w:val="singleLevel"/>
    <w:tmpl w:val="FD5A3316"/>
    <w:lvl w:ilvl="0">
      <w:numFmt w:val="bullet"/>
      <w:lvlText w:val="-"/>
      <w:lvlJc w:val="left"/>
      <w:pPr>
        <w:tabs>
          <w:tab w:val="num" w:pos="1069"/>
        </w:tabs>
        <w:ind w:left="1069" w:hanging="360"/>
      </w:pPr>
      <w:rPr>
        <w:rFonts w:hint="default"/>
      </w:rPr>
    </w:lvl>
  </w:abstractNum>
  <w:abstractNum w:abstractNumId="6">
    <w:nsid w:val="249117E3"/>
    <w:multiLevelType w:val="hybridMultilevel"/>
    <w:tmpl w:val="064E42A8"/>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29"/>
        </w:tabs>
        <w:ind w:left="1429" w:hanging="360"/>
      </w:pPr>
    </w:lvl>
    <w:lvl w:ilvl="2" w:tplc="0414001B" w:tentative="1">
      <w:start w:val="1"/>
      <w:numFmt w:val="lowerRoman"/>
      <w:lvlText w:val="%3."/>
      <w:lvlJc w:val="right"/>
      <w:pPr>
        <w:tabs>
          <w:tab w:val="num" w:pos="2149"/>
        </w:tabs>
        <w:ind w:left="2149" w:hanging="180"/>
      </w:pPr>
    </w:lvl>
    <w:lvl w:ilvl="3" w:tplc="0414000F" w:tentative="1">
      <w:start w:val="1"/>
      <w:numFmt w:val="decimal"/>
      <w:lvlText w:val="%4."/>
      <w:lvlJc w:val="left"/>
      <w:pPr>
        <w:tabs>
          <w:tab w:val="num" w:pos="2869"/>
        </w:tabs>
        <w:ind w:left="2869" w:hanging="360"/>
      </w:pPr>
    </w:lvl>
    <w:lvl w:ilvl="4" w:tplc="04140019" w:tentative="1">
      <w:start w:val="1"/>
      <w:numFmt w:val="lowerLetter"/>
      <w:lvlText w:val="%5."/>
      <w:lvlJc w:val="left"/>
      <w:pPr>
        <w:tabs>
          <w:tab w:val="num" w:pos="3589"/>
        </w:tabs>
        <w:ind w:left="3589" w:hanging="360"/>
      </w:pPr>
    </w:lvl>
    <w:lvl w:ilvl="5" w:tplc="0414001B" w:tentative="1">
      <w:start w:val="1"/>
      <w:numFmt w:val="lowerRoman"/>
      <w:lvlText w:val="%6."/>
      <w:lvlJc w:val="right"/>
      <w:pPr>
        <w:tabs>
          <w:tab w:val="num" w:pos="4309"/>
        </w:tabs>
        <w:ind w:left="4309" w:hanging="180"/>
      </w:pPr>
    </w:lvl>
    <w:lvl w:ilvl="6" w:tplc="0414000F" w:tentative="1">
      <w:start w:val="1"/>
      <w:numFmt w:val="decimal"/>
      <w:lvlText w:val="%7."/>
      <w:lvlJc w:val="left"/>
      <w:pPr>
        <w:tabs>
          <w:tab w:val="num" w:pos="5029"/>
        </w:tabs>
        <w:ind w:left="5029" w:hanging="360"/>
      </w:pPr>
    </w:lvl>
    <w:lvl w:ilvl="7" w:tplc="04140019" w:tentative="1">
      <w:start w:val="1"/>
      <w:numFmt w:val="lowerLetter"/>
      <w:lvlText w:val="%8."/>
      <w:lvlJc w:val="left"/>
      <w:pPr>
        <w:tabs>
          <w:tab w:val="num" w:pos="5749"/>
        </w:tabs>
        <w:ind w:left="5749" w:hanging="360"/>
      </w:pPr>
    </w:lvl>
    <w:lvl w:ilvl="8" w:tplc="0414001B" w:tentative="1">
      <w:start w:val="1"/>
      <w:numFmt w:val="lowerRoman"/>
      <w:lvlText w:val="%9."/>
      <w:lvlJc w:val="right"/>
      <w:pPr>
        <w:tabs>
          <w:tab w:val="num" w:pos="6469"/>
        </w:tabs>
        <w:ind w:left="6469" w:hanging="180"/>
      </w:pPr>
    </w:lvl>
  </w:abstractNum>
  <w:abstractNum w:abstractNumId="7">
    <w:nsid w:val="2B8A7D0E"/>
    <w:multiLevelType w:val="hybridMultilevel"/>
    <w:tmpl w:val="60644F12"/>
    <w:lvl w:ilvl="0" w:tplc="7764CFD8">
      <w:start w:val="1"/>
      <w:numFmt w:val="decimal"/>
      <w:pStyle w:val="nummerertliste1"/>
      <w:lvlText w:val="%1."/>
      <w:lvlJc w:val="left"/>
      <w:pPr>
        <w:tabs>
          <w:tab w:val="num" w:pos="720"/>
        </w:tabs>
        <w:ind w:left="720" w:hanging="360"/>
      </w:pPr>
    </w:lvl>
    <w:lvl w:ilvl="1" w:tplc="E8C43988">
      <w:start w:val="1"/>
      <w:numFmt w:val="lowerLetter"/>
      <w:pStyle w:val="Bokstavliste2"/>
      <w:lvlText w:val="%2."/>
      <w:lvlJc w:val="left"/>
      <w:pPr>
        <w:tabs>
          <w:tab w:val="num" w:pos="1440"/>
        </w:tabs>
        <w:ind w:left="1440" w:hanging="360"/>
      </w:pPr>
      <w:rPr>
        <w:rFonts w:hint="default"/>
      </w:r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8">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33947F35"/>
    <w:multiLevelType w:val="hybridMultilevel"/>
    <w:tmpl w:val="C4C8E26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11">
    <w:nsid w:val="37057E15"/>
    <w:multiLevelType w:val="hybridMultilevel"/>
    <w:tmpl w:val="72467B30"/>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nsid w:val="3D540960"/>
    <w:multiLevelType w:val="hybridMultilevel"/>
    <w:tmpl w:val="B3A095AE"/>
    <w:lvl w:ilvl="0" w:tplc="A4B43FF0">
      <w:start w:val="3"/>
      <w:numFmt w:val="bullet"/>
      <w:lvlText w:val="-"/>
      <w:lvlJc w:val="left"/>
      <w:pPr>
        <w:tabs>
          <w:tab w:val="num" w:pos="1080"/>
        </w:tabs>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nsid w:val="3F611C9E"/>
    <w:multiLevelType w:val="hybridMultilevel"/>
    <w:tmpl w:val="21EE057E"/>
    <w:lvl w:ilvl="0" w:tplc="E8C43988">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091"/>
        </w:tabs>
        <w:ind w:left="1091" w:hanging="360"/>
      </w:pPr>
    </w:lvl>
    <w:lvl w:ilvl="2" w:tplc="0414001B" w:tentative="1">
      <w:start w:val="1"/>
      <w:numFmt w:val="lowerRoman"/>
      <w:lvlText w:val="%3."/>
      <w:lvlJc w:val="right"/>
      <w:pPr>
        <w:tabs>
          <w:tab w:val="num" w:pos="1811"/>
        </w:tabs>
        <w:ind w:left="1811" w:hanging="180"/>
      </w:pPr>
    </w:lvl>
    <w:lvl w:ilvl="3" w:tplc="0414000F" w:tentative="1">
      <w:start w:val="1"/>
      <w:numFmt w:val="decimal"/>
      <w:lvlText w:val="%4."/>
      <w:lvlJc w:val="left"/>
      <w:pPr>
        <w:tabs>
          <w:tab w:val="num" w:pos="2531"/>
        </w:tabs>
        <w:ind w:left="2531" w:hanging="360"/>
      </w:pPr>
    </w:lvl>
    <w:lvl w:ilvl="4" w:tplc="04140019" w:tentative="1">
      <w:start w:val="1"/>
      <w:numFmt w:val="lowerLetter"/>
      <w:lvlText w:val="%5."/>
      <w:lvlJc w:val="left"/>
      <w:pPr>
        <w:tabs>
          <w:tab w:val="num" w:pos="3251"/>
        </w:tabs>
        <w:ind w:left="3251" w:hanging="360"/>
      </w:pPr>
    </w:lvl>
    <w:lvl w:ilvl="5" w:tplc="0414001B" w:tentative="1">
      <w:start w:val="1"/>
      <w:numFmt w:val="lowerRoman"/>
      <w:lvlText w:val="%6."/>
      <w:lvlJc w:val="right"/>
      <w:pPr>
        <w:tabs>
          <w:tab w:val="num" w:pos="3971"/>
        </w:tabs>
        <w:ind w:left="3971" w:hanging="180"/>
      </w:pPr>
    </w:lvl>
    <w:lvl w:ilvl="6" w:tplc="0414000F" w:tentative="1">
      <w:start w:val="1"/>
      <w:numFmt w:val="decimal"/>
      <w:lvlText w:val="%7."/>
      <w:lvlJc w:val="left"/>
      <w:pPr>
        <w:tabs>
          <w:tab w:val="num" w:pos="4691"/>
        </w:tabs>
        <w:ind w:left="4691" w:hanging="360"/>
      </w:pPr>
    </w:lvl>
    <w:lvl w:ilvl="7" w:tplc="04140019" w:tentative="1">
      <w:start w:val="1"/>
      <w:numFmt w:val="lowerLetter"/>
      <w:lvlText w:val="%8."/>
      <w:lvlJc w:val="left"/>
      <w:pPr>
        <w:tabs>
          <w:tab w:val="num" w:pos="5411"/>
        </w:tabs>
        <w:ind w:left="5411" w:hanging="360"/>
      </w:pPr>
    </w:lvl>
    <w:lvl w:ilvl="8" w:tplc="0414001B" w:tentative="1">
      <w:start w:val="1"/>
      <w:numFmt w:val="lowerRoman"/>
      <w:lvlText w:val="%9."/>
      <w:lvlJc w:val="right"/>
      <w:pPr>
        <w:tabs>
          <w:tab w:val="num" w:pos="6131"/>
        </w:tabs>
        <w:ind w:left="6131" w:hanging="180"/>
      </w:pPr>
    </w:lvl>
  </w:abstractNum>
  <w:abstractNum w:abstractNumId="14">
    <w:nsid w:val="46295C4C"/>
    <w:multiLevelType w:val="hybridMultilevel"/>
    <w:tmpl w:val="0D304C50"/>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5">
    <w:nsid w:val="492D050A"/>
    <w:multiLevelType w:val="hybridMultilevel"/>
    <w:tmpl w:val="FF72453C"/>
    <w:lvl w:ilvl="0" w:tplc="E8C43988">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lvl>
    <w:lvl w:ilvl="2" w:tplc="0414001B">
      <w:start w:val="1"/>
      <w:numFmt w:val="lowerRoman"/>
      <w:lvlText w:val="%3."/>
      <w:lvlJc w:val="right"/>
      <w:pPr>
        <w:tabs>
          <w:tab w:val="num" w:pos="2149"/>
        </w:tabs>
        <w:ind w:left="2149" w:hanging="180"/>
      </w:pPr>
    </w:lvl>
    <w:lvl w:ilvl="3" w:tplc="0414000F">
      <w:start w:val="1"/>
      <w:numFmt w:val="decimal"/>
      <w:lvlText w:val="%4."/>
      <w:lvlJc w:val="left"/>
      <w:pPr>
        <w:tabs>
          <w:tab w:val="num" w:pos="2869"/>
        </w:tabs>
        <w:ind w:left="2869" w:hanging="360"/>
      </w:pPr>
    </w:lvl>
    <w:lvl w:ilvl="4" w:tplc="04140019">
      <w:start w:val="1"/>
      <w:numFmt w:val="lowerLetter"/>
      <w:lvlText w:val="%5."/>
      <w:lvlJc w:val="left"/>
      <w:pPr>
        <w:tabs>
          <w:tab w:val="num" w:pos="3589"/>
        </w:tabs>
        <w:ind w:left="3589" w:hanging="360"/>
      </w:pPr>
    </w:lvl>
    <w:lvl w:ilvl="5" w:tplc="0414001B">
      <w:start w:val="1"/>
      <w:numFmt w:val="lowerRoman"/>
      <w:lvlText w:val="%6."/>
      <w:lvlJc w:val="right"/>
      <w:pPr>
        <w:tabs>
          <w:tab w:val="num" w:pos="4309"/>
        </w:tabs>
        <w:ind w:left="4309" w:hanging="180"/>
      </w:pPr>
    </w:lvl>
    <w:lvl w:ilvl="6" w:tplc="0414000F">
      <w:start w:val="1"/>
      <w:numFmt w:val="decimal"/>
      <w:lvlText w:val="%7."/>
      <w:lvlJc w:val="left"/>
      <w:pPr>
        <w:tabs>
          <w:tab w:val="num" w:pos="5029"/>
        </w:tabs>
        <w:ind w:left="5029" w:hanging="360"/>
      </w:pPr>
    </w:lvl>
    <w:lvl w:ilvl="7" w:tplc="04140019">
      <w:start w:val="1"/>
      <w:numFmt w:val="lowerLetter"/>
      <w:lvlText w:val="%8."/>
      <w:lvlJc w:val="left"/>
      <w:pPr>
        <w:tabs>
          <w:tab w:val="num" w:pos="5749"/>
        </w:tabs>
        <w:ind w:left="5749" w:hanging="360"/>
      </w:pPr>
    </w:lvl>
    <w:lvl w:ilvl="8" w:tplc="0414001B">
      <w:start w:val="1"/>
      <w:numFmt w:val="lowerRoman"/>
      <w:lvlText w:val="%9."/>
      <w:lvlJc w:val="right"/>
      <w:pPr>
        <w:tabs>
          <w:tab w:val="num" w:pos="6469"/>
        </w:tabs>
        <w:ind w:left="6469" w:hanging="180"/>
      </w:pPr>
    </w:lvl>
  </w:abstractNum>
  <w:abstractNum w:abstractNumId="16">
    <w:nsid w:val="6ADD6D2E"/>
    <w:multiLevelType w:val="hybridMultilevel"/>
    <w:tmpl w:val="AEA0D740"/>
    <w:lvl w:ilvl="0" w:tplc="AB347A00">
      <w:start w:val="1"/>
      <w:numFmt w:val="decimal"/>
      <w:pStyle w:val="Overskrift1"/>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7">
    <w:nsid w:val="6E393E3D"/>
    <w:multiLevelType w:val="hybridMultilevel"/>
    <w:tmpl w:val="2632B3E8"/>
    <w:lvl w:ilvl="0" w:tplc="0414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75F054FE"/>
    <w:multiLevelType w:val="hybridMultilevel"/>
    <w:tmpl w:val="FD3A2AB8"/>
    <w:lvl w:ilvl="0" w:tplc="69CAF942">
      <w:start w:val="1"/>
      <w:numFmt w:val="decimal"/>
      <w:lvlText w:val="%1)"/>
      <w:lvlJc w:val="left"/>
      <w:pPr>
        <w:tabs>
          <w:tab w:val="num" w:pos="567"/>
        </w:tabs>
        <w:ind w:left="567" w:hanging="567"/>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9">
    <w:nsid w:val="7C0F2337"/>
    <w:multiLevelType w:val="hybridMultilevel"/>
    <w:tmpl w:val="43B00A4C"/>
    <w:lvl w:ilvl="0" w:tplc="E8C43988">
      <w:start w:val="1"/>
      <w:numFmt w:val="lowerLetter"/>
      <w:lvlText w:val="%1."/>
      <w:lvlJc w:val="left"/>
      <w:pPr>
        <w:tabs>
          <w:tab w:val="num" w:pos="1069"/>
        </w:tabs>
        <w:ind w:left="1069"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6"/>
  </w:num>
  <w:num w:numId="2">
    <w:abstractNumId w:val="0"/>
  </w:num>
  <w:num w:numId="3">
    <w:abstractNumId w:val="7"/>
  </w:num>
  <w:num w:numId="4">
    <w:abstractNumId w:val="14"/>
  </w:num>
  <w:num w:numId="5">
    <w:abstractNumId w:val="7"/>
    <w:lvlOverride w:ilvl="0">
      <w:startOverride w:val="1"/>
    </w:lvlOverride>
  </w:num>
  <w:num w:numId="6">
    <w:abstractNumId w:val="3"/>
  </w:num>
  <w:num w:numId="7">
    <w:abstractNumId w:val="13"/>
  </w:num>
  <w:num w:numId="8">
    <w:abstractNumId w:val="19"/>
  </w:num>
  <w:num w:numId="9">
    <w:abstractNumId w:val="15"/>
  </w:num>
  <w:num w:numId="10">
    <w:abstractNumId w:val="10"/>
  </w:num>
  <w:num w:numId="11">
    <w:abstractNumId w:val="5"/>
  </w:num>
  <w:num w:numId="12">
    <w:abstractNumId w:val="18"/>
  </w:num>
  <w:num w:numId="13">
    <w:abstractNumId w:val="6"/>
  </w:num>
  <w:num w:numId="14">
    <w:abstractNumId w:val="0"/>
    <w:lvlOverride w:ilvl="0">
      <w:startOverride w:val="7"/>
    </w:lvlOverride>
    <w:lvlOverride w:ilvl="1">
      <w:startOverride w:val="3"/>
    </w:lvlOverride>
    <w:lvlOverride w:ilvl="2">
      <w:startOverride w:val="2"/>
    </w:lvlOverride>
  </w:num>
  <w:num w:numId="15">
    <w:abstractNumId w:val="8"/>
  </w:num>
  <w:num w:numId="16">
    <w:abstractNumId w:val="17"/>
  </w:num>
  <w:num w:numId="17">
    <w:abstractNumId w:val="9"/>
  </w:num>
  <w:num w:numId="18">
    <w:abstractNumId w:val="11"/>
  </w:num>
  <w:num w:numId="19">
    <w:abstractNumId w:val="2"/>
  </w:num>
  <w:num w:numId="20">
    <w:abstractNumId w:val="1"/>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2E03C3"/>
    <w:rsid w:val="00036565"/>
    <w:rsid w:val="000441F1"/>
    <w:rsid w:val="000F3BA6"/>
    <w:rsid w:val="000F4717"/>
    <w:rsid w:val="001B3DFB"/>
    <w:rsid w:val="002A4AC5"/>
    <w:rsid w:val="002B71FE"/>
    <w:rsid w:val="002D7247"/>
    <w:rsid w:val="002E03C3"/>
    <w:rsid w:val="002F5115"/>
    <w:rsid w:val="00304CBA"/>
    <w:rsid w:val="00346A74"/>
    <w:rsid w:val="00356161"/>
    <w:rsid w:val="0039172F"/>
    <w:rsid w:val="003967A4"/>
    <w:rsid w:val="003B79F7"/>
    <w:rsid w:val="003C368F"/>
    <w:rsid w:val="003C56BC"/>
    <w:rsid w:val="003F557E"/>
    <w:rsid w:val="0040746B"/>
    <w:rsid w:val="00407EC6"/>
    <w:rsid w:val="004A14E8"/>
    <w:rsid w:val="004C2002"/>
    <w:rsid w:val="004C588E"/>
    <w:rsid w:val="0051510E"/>
    <w:rsid w:val="00595857"/>
    <w:rsid w:val="005A5BFA"/>
    <w:rsid w:val="00635F74"/>
    <w:rsid w:val="00666BCB"/>
    <w:rsid w:val="00666EB4"/>
    <w:rsid w:val="006B0700"/>
    <w:rsid w:val="006F0416"/>
    <w:rsid w:val="0073317F"/>
    <w:rsid w:val="0073362F"/>
    <w:rsid w:val="007B0980"/>
    <w:rsid w:val="0083783C"/>
    <w:rsid w:val="00894B9C"/>
    <w:rsid w:val="008C74EA"/>
    <w:rsid w:val="008F1775"/>
    <w:rsid w:val="009B3691"/>
    <w:rsid w:val="009F5FD1"/>
    <w:rsid w:val="00A06EAF"/>
    <w:rsid w:val="00A4621E"/>
    <w:rsid w:val="00AD4454"/>
    <w:rsid w:val="00B137D1"/>
    <w:rsid w:val="00B22D96"/>
    <w:rsid w:val="00B32551"/>
    <w:rsid w:val="00B645D3"/>
    <w:rsid w:val="00B72B10"/>
    <w:rsid w:val="00B73278"/>
    <w:rsid w:val="00B947ED"/>
    <w:rsid w:val="00BE038E"/>
    <w:rsid w:val="00C1369C"/>
    <w:rsid w:val="00C42111"/>
    <w:rsid w:val="00C46628"/>
    <w:rsid w:val="00C974A0"/>
    <w:rsid w:val="00CC4FD2"/>
    <w:rsid w:val="00CD5A25"/>
    <w:rsid w:val="00D05265"/>
    <w:rsid w:val="00D575FD"/>
    <w:rsid w:val="00DE5197"/>
    <w:rsid w:val="00F22F86"/>
    <w:rsid w:val="00F37E01"/>
    <w:rsid w:val="00F761CC"/>
    <w:rsid w:val="00FD50BF"/>
    <w:rsid w:val="00FE68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2E03C3"/>
    <w:pPr>
      <w:keepNext/>
      <w:numPr>
        <w:numId w:val="1"/>
      </w:numPr>
      <w:spacing w:before="240" w:after="60" w:line="240" w:lineRule="auto"/>
      <w:outlineLvl w:val="0"/>
    </w:pPr>
    <w:rPr>
      <w:rFonts w:ascii="Arial" w:eastAsia="Times New Roman" w:hAnsi="Arial" w:cs="Times New Roman"/>
      <w:b/>
      <w:color w:val="000000"/>
      <w:kern w:val="28"/>
      <w:sz w:val="32"/>
      <w:szCs w:val="20"/>
      <w:lang w:eastAsia="nb-NO"/>
    </w:rPr>
  </w:style>
  <w:style w:type="paragraph" w:styleId="Overskrift2">
    <w:name w:val="heading 2"/>
    <w:basedOn w:val="Normal"/>
    <w:next w:val="Normal"/>
    <w:link w:val="Overskrift2Tegn"/>
    <w:autoRedefine/>
    <w:qFormat/>
    <w:rsid w:val="002E03C3"/>
    <w:pPr>
      <w:keepNext/>
      <w:spacing w:after="0" w:line="240" w:lineRule="auto"/>
      <w:outlineLvl w:val="1"/>
    </w:pPr>
    <w:rPr>
      <w:rFonts w:ascii="Times New Roman" w:eastAsia="Times New Roman" w:hAnsi="Times New Roman" w:cs="Times New Roman"/>
      <w:b/>
      <w:bCs/>
      <w:smallCaps/>
      <w:szCs w:val="24"/>
      <w:lang w:eastAsia="nb-NO"/>
    </w:rPr>
  </w:style>
  <w:style w:type="paragraph" w:styleId="Overskrift3">
    <w:name w:val="heading 3"/>
    <w:basedOn w:val="Normal"/>
    <w:next w:val="Normal"/>
    <w:link w:val="Overskrift3Tegn"/>
    <w:qFormat/>
    <w:rsid w:val="002E03C3"/>
    <w:pPr>
      <w:keepNext/>
      <w:keepLines/>
      <w:spacing w:after="180" w:line="240" w:lineRule="auto"/>
      <w:outlineLvl w:val="2"/>
    </w:pPr>
    <w:rPr>
      <w:rFonts w:ascii="Times New Roman" w:eastAsia="Times New Roman" w:hAnsi="Times New Roman" w:cs="Times New Roman"/>
      <w:b/>
      <w:bCs/>
      <w:lang w:eastAsia="nb-NO"/>
    </w:rPr>
  </w:style>
  <w:style w:type="paragraph" w:styleId="Overskrift4">
    <w:name w:val="heading 4"/>
    <w:basedOn w:val="Normal"/>
    <w:next w:val="Normal"/>
    <w:link w:val="Overskrift4Tegn"/>
    <w:qFormat/>
    <w:rsid w:val="002E03C3"/>
    <w:pPr>
      <w:keepNext/>
      <w:keepLines/>
      <w:widowControl w:val="0"/>
      <w:spacing w:before="240" w:after="60" w:line="240" w:lineRule="auto"/>
      <w:outlineLvl w:val="3"/>
    </w:pPr>
    <w:rPr>
      <w:rFonts w:ascii="Times New Roman" w:eastAsia="Times New Roman" w:hAnsi="Times New Roman" w:cs="Times New Roman"/>
      <w:b/>
      <w:bCs/>
      <w:i/>
      <w:iCs/>
      <w:szCs w:val="24"/>
      <w:lang w:eastAsia="nb-NO"/>
    </w:rPr>
  </w:style>
  <w:style w:type="paragraph" w:styleId="Overskrift5">
    <w:name w:val="heading 5"/>
    <w:basedOn w:val="Normal"/>
    <w:next w:val="Normal"/>
    <w:link w:val="Overskrift5Tegn"/>
    <w:qFormat/>
    <w:rsid w:val="002E03C3"/>
    <w:pPr>
      <w:keepLines/>
      <w:widowControl w:val="0"/>
      <w:spacing w:before="240" w:after="60" w:line="240" w:lineRule="auto"/>
      <w:outlineLvl w:val="4"/>
    </w:pPr>
    <w:rPr>
      <w:rFonts w:ascii="Arial" w:eastAsia="Times New Roman" w:hAnsi="Arial" w:cs="Arial"/>
      <w:lang w:eastAsia="nb-NO"/>
    </w:rPr>
  </w:style>
  <w:style w:type="paragraph" w:styleId="Overskrift6">
    <w:name w:val="heading 6"/>
    <w:basedOn w:val="Normal"/>
    <w:next w:val="Normal"/>
    <w:link w:val="Overskrift6Tegn"/>
    <w:qFormat/>
    <w:rsid w:val="002E03C3"/>
    <w:pPr>
      <w:keepLines/>
      <w:widowControl w:val="0"/>
      <w:spacing w:before="240" w:after="60" w:line="240" w:lineRule="auto"/>
      <w:outlineLvl w:val="5"/>
    </w:pPr>
    <w:rPr>
      <w:rFonts w:ascii="Arial" w:eastAsia="Times New Roman" w:hAnsi="Arial" w:cs="Arial"/>
      <w:i/>
      <w:iCs/>
      <w:lang w:eastAsia="nb-NO"/>
    </w:rPr>
  </w:style>
  <w:style w:type="paragraph" w:styleId="Overskrift7">
    <w:name w:val="heading 7"/>
    <w:basedOn w:val="Normal"/>
    <w:next w:val="Normal"/>
    <w:link w:val="Overskrift7Tegn"/>
    <w:qFormat/>
    <w:rsid w:val="002E03C3"/>
    <w:pPr>
      <w:keepLines/>
      <w:widowControl w:val="0"/>
      <w:spacing w:before="240" w:after="60" w:line="240" w:lineRule="auto"/>
      <w:outlineLvl w:val="6"/>
    </w:pPr>
    <w:rPr>
      <w:rFonts w:ascii="Arial" w:eastAsia="Times New Roman" w:hAnsi="Arial" w:cs="Arial"/>
      <w:sz w:val="20"/>
      <w:szCs w:val="20"/>
      <w:lang w:eastAsia="nb-NO"/>
    </w:rPr>
  </w:style>
  <w:style w:type="paragraph" w:styleId="Overskrift8">
    <w:name w:val="heading 8"/>
    <w:basedOn w:val="Normal"/>
    <w:next w:val="Normal"/>
    <w:link w:val="Overskrift8Tegn"/>
    <w:qFormat/>
    <w:rsid w:val="002E03C3"/>
    <w:pPr>
      <w:keepLines/>
      <w:widowControl w:val="0"/>
      <w:spacing w:before="240" w:after="60" w:line="240" w:lineRule="auto"/>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qFormat/>
    <w:rsid w:val="002E03C3"/>
    <w:pPr>
      <w:keepLines/>
      <w:widowControl w:val="0"/>
      <w:spacing w:before="240" w:after="60" w:line="240" w:lineRule="auto"/>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E03C3"/>
    <w:rPr>
      <w:rFonts w:ascii="Arial" w:eastAsia="Times New Roman" w:hAnsi="Arial" w:cs="Times New Roman"/>
      <w:b/>
      <w:color w:val="000000"/>
      <w:kern w:val="28"/>
      <w:sz w:val="32"/>
      <w:szCs w:val="20"/>
      <w:lang w:eastAsia="nb-NO"/>
    </w:rPr>
  </w:style>
  <w:style w:type="character" w:customStyle="1" w:styleId="Overskrift2Tegn">
    <w:name w:val="Overskrift 2 Tegn"/>
    <w:basedOn w:val="Standardskriftforavsnitt"/>
    <w:link w:val="Overskrift2"/>
    <w:rsid w:val="002E03C3"/>
    <w:rPr>
      <w:rFonts w:ascii="Times New Roman" w:eastAsia="Times New Roman" w:hAnsi="Times New Roman" w:cs="Times New Roman"/>
      <w:b/>
      <w:bCs/>
      <w:smallCaps/>
      <w:szCs w:val="24"/>
      <w:lang w:eastAsia="nb-NO"/>
    </w:rPr>
  </w:style>
  <w:style w:type="character" w:customStyle="1" w:styleId="Overskrift3Tegn">
    <w:name w:val="Overskrift 3 Tegn"/>
    <w:basedOn w:val="Standardskriftforavsnitt"/>
    <w:link w:val="Overskrift3"/>
    <w:rsid w:val="002E03C3"/>
    <w:rPr>
      <w:rFonts w:ascii="Times New Roman" w:eastAsia="Times New Roman" w:hAnsi="Times New Roman" w:cs="Times New Roman"/>
      <w:b/>
      <w:bCs/>
      <w:lang w:eastAsia="nb-NO"/>
    </w:rPr>
  </w:style>
  <w:style w:type="character" w:customStyle="1" w:styleId="Overskrift4Tegn">
    <w:name w:val="Overskrift 4 Tegn"/>
    <w:basedOn w:val="Standardskriftforavsnitt"/>
    <w:link w:val="Overskrift4"/>
    <w:rsid w:val="002E03C3"/>
    <w:rPr>
      <w:rFonts w:ascii="Times New Roman" w:eastAsia="Times New Roman" w:hAnsi="Times New Roman" w:cs="Times New Roman"/>
      <w:b/>
      <w:bCs/>
      <w:i/>
      <w:iCs/>
      <w:szCs w:val="24"/>
      <w:lang w:eastAsia="nb-NO"/>
    </w:rPr>
  </w:style>
  <w:style w:type="character" w:customStyle="1" w:styleId="Overskrift5Tegn">
    <w:name w:val="Overskrift 5 Tegn"/>
    <w:basedOn w:val="Standardskriftforavsnitt"/>
    <w:link w:val="Overskrift5"/>
    <w:rsid w:val="002E03C3"/>
    <w:rPr>
      <w:rFonts w:ascii="Arial" w:eastAsia="Times New Roman" w:hAnsi="Arial" w:cs="Arial"/>
      <w:lang w:eastAsia="nb-NO"/>
    </w:rPr>
  </w:style>
  <w:style w:type="character" w:customStyle="1" w:styleId="Overskrift6Tegn">
    <w:name w:val="Overskrift 6 Tegn"/>
    <w:basedOn w:val="Standardskriftforavsnitt"/>
    <w:link w:val="Overskrift6"/>
    <w:rsid w:val="002E03C3"/>
    <w:rPr>
      <w:rFonts w:ascii="Arial" w:eastAsia="Times New Roman" w:hAnsi="Arial" w:cs="Arial"/>
      <w:i/>
      <w:iCs/>
      <w:lang w:eastAsia="nb-NO"/>
    </w:rPr>
  </w:style>
  <w:style w:type="character" w:customStyle="1" w:styleId="Overskrift7Tegn">
    <w:name w:val="Overskrift 7 Tegn"/>
    <w:basedOn w:val="Standardskriftforavsnitt"/>
    <w:link w:val="Overskrift7"/>
    <w:rsid w:val="002E03C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2E03C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2E03C3"/>
    <w:rPr>
      <w:rFonts w:ascii="Arial" w:eastAsia="Times New Roman" w:hAnsi="Arial" w:cs="Arial"/>
      <w:i/>
      <w:iCs/>
      <w:sz w:val="18"/>
      <w:szCs w:val="18"/>
      <w:lang w:eastAsia="nb-NO"/>
    </w:rPr>
  </w:style>
  <w:style w:type="paragraph" w:styleId="Brdtekst">
    <w:name w:val="Body Text"/>
    <w:basedOn w:val="Normal"/>
    <w:link w:val="BrdtekstTegn"/>
    <w:semiHidden/>
    <w:rsid w:val="002E03C3"/>
    <w:pPr>
      <w:spacing w:after="0" w:line="240" w:lineRule="auto"/>
    </w:pPr>
    <w:rPr>
      <w:rFonts w:ascii="Times New Roman" w:eastAsia="Times New Roman" w:hAnsi="Times New Roman" w:cs="Times New Roman"/>
      <w:i/>
      <w:iCs/>
      <w:szCs w:val="24"/>
    </w:rPr>
  </w:style>
  <w:style w:type="character" w:customStyle="1" w:styleId="BrdtekstTegn">
    <w:name w:val="Brødtekst Tegn"/>
    <w:basedOn w:val="Standardskriftforavsnitt"/>
    <w:link w:val="Brdtekst"/>
    <w:semiHidden/>
    <w:rsid w:val="002E03C3"/>
    <w:rPr>
      <w:rFonts w:ascii="Times New Roman" w:eastAsia="Times New Roman" w:hAnsi="Times New Roman" w:cs="Times New Roman"/>
      <w:i/>
      <w:iCs/>
      <w:szCs w:val="24"/>
    </w:rPr>
  </w:style>
  <w:style w:type="paragraph" w:styleId="Dato">
    <w:name w:val="Date"/>
    <w:basedOn w:val="Normal"/>
    <w:next w:val="Normal"/>
    <w:link w:val="DatoTegn"/>
    <w:semiHidden/>
    <w:rsid w:val="002E03C3"/>
    <w:pPr>
      <w:keepLines/>
      <w:widowControl w:val="0"/>
      <w:spacing w:after="0" w:line="240" w:lineRule="auto"/>
    </w:pPr>
    <w:rPr>
      <w:rFonts w:ascii="Times New Roman" w:eastAsia="Times New Roman" w:hAnsi="Times New Roman" w:cs="Times New Roman"/>
      <w:szCs w:val="24"/>
      <w:lang w:eastAsia="nb-NO"/>
    </w:rPr>
  </w:style>
  <w:style w:type="character" w:customStyle="1" w:styleId="DatoTegn">
    <w:name w:val="Dato Tegn"/>
    <w:basedOn w:val="Standardskriftforavsnitt"/>
    <w:link w:val="Dato"/>
    <w:semiHidden/>
    <w:rsid w:val="002E03C3"/>
    <w:rPr>
      <w:rFonts w:ascii="Times New Roman" w:eastAsia="Times New Roman" w:hAnsi="Times New Roman" w:cs="Times New Roman"/>
      <w:szCs w:val="24"/>
      <w:lang w:eastAsia="nb-NO"/>
    </w:rPr>
  </w:style>
  <w:style w:type="paragraph" w:customStyle="1" w:styleId="Tabellnavn">
    <w:name w:val="Tabellnavn"/>
    <w:basedOn w:val="Normal"/>
    <w:rsid w:val="002E03C3"/>
    <w:pPr>
      <w:keepLines/>
      <w:widowControl w:val="0"/>
      <w:spacing w:after="0" w:line="240" w:lineRule="auto"/>
    </w:pPr>
    <w:rPr>
      <w:rFonts w:ascii="Times New Roman" w:eastAsia="Times New Roman" w:hAnsi="Times New Roman" w:cs="Times New Roman"/>
      <w:i/>
      <w:iCs/>
      <w:lang w:eastAsia="nb-NO"/>
    </w:rPr>
  </w:style>
  <w:style w:type="paragraph" w:customStyle="1" w:styleId="nummerertliste1">
    <w:name w:val="nummerert liste 1"/>
    <w:basedOn w:val="Normal"/>
    <w:rsid w:val="002E03C3"/>
    <w:pPr>
      <w:numPr>
        <w:numId w:val="3"/>
      </w:numPr>
      <w:spacing w:after="180" w:line="240" w:lineRule="auto"/>
    </w:pPr>
    <w:rPr>
      <w:rFonts w:ascii="Times New Roman" w:eastAsia="Times New Roman" w:hAnsi="Times New Roman" w:cs="Times New Roman"/>
      <w:lang w:eastAsia="nb-NO"/>
    </w:rPr>
  </w:style>
  <w:style w:type="paragraph" w:customStyle="1" w:styleId="Bokstavliste2">
    <w:name w:val="Bokstavliste 2"/>
    <w:basedOn w:val="Normal"/>
    <w:rsid w:val="002E03C3"/>
    <w:pPr>
      <w:keepLines/>
      <w:widowControl w:val="0"/>
      <w:numPr>
        <w:ilvl w:val="1"/>
        <w:numId w:val="3"/>
      </w:numPr>
      <w:spacing w:after="60" w:line="240" w:lineRule="auto"/>
    </w:pPr>
    <w:rPr>
      <w:rFonts w:ascii="Times New Roman" w:eastAsia="Times New Roman" w:hAnsi="Times New Roman" w:cs="Times New Roman"/>
      <w:lang w:eastAsia="nb-NO"/>
    </w:rPr>
  </w:style>
  <w:style w:type="paragraph" w:styleId="Merknadstekst">
    <w:name w:val="annotation text"/>
    <w:basedOn w:val="Normal"/>
    <w:link w:val="MerknadstekstTegn"/>
    <w:semiHidden/>
    <w:rsid w:val="002E03C3"/>
    <w:pPr>
      <w:keepLines/>
      <w:widowControl w:val="0"/>
      <w:spacing w:after="0" w:line="240" w:lineRule="auto"/>
    </w:pPr>
    <w:rPr>
      <w:rFonts w:ascii="Times New Roman" w:eastAsia="Times New Roman" w:hAnsi="Times New Roman" w:cs="Times New Roman"/>
      <w:lang w:eastAsia="nb-NO"/>
    </w:rPr>
  </w:style>
  <w:style w:type="character" w:customStyle="1" w:styleId="MerknadstekstTegn">
    <w:name w:val="Merknadstekst Tegn"/>
    <w:basedOn w:val="Standardskriftforavsnitt"/>
    <w:link w:val="Merknadstekst"/>
    <w:semiHidden/>
    <w:rsid w:val="002E03C3"/>
    <w:rPr>
      <w:rFonts w:ascii="Times New Roman" w:eastAsia="Times New Roman" w:hAnsi="Times New Roman" w:cs="Times New Roman"/>
      <w:lang w:eastAsia="nb-NO"/>
    </w:rPr>
  </w:style>
  <w:style w:type="paragraph" w:styleId="Brdtekst2">
    <w:name w:val="Body Text 2"/>
    <w:basedOn w:val="Normal"/>
    <w:link w:val="Brdtekst2Tegn"/>
    <w:semiHidden/>
    <w:rsid w:val="002E03C3"/>
    <w:pPr>
      <w:framePr w:hSpace="180" w:wrap="around" w:vAnchor="text" w:hAnchor="text" w:y="1"/>
      <w:spacing w:after="0" w:line="240" w:lineRule="auto"/>
    </w:pPr>
    <w:rPr>
      <w:rFonts w:ascii="Times New Roman" w:eastAsia="Times New Roman" w:hAnsi="Times New Roman" w:cs="Times New Roman"/>
      <w:szCs w:val="20"/>
    </w:rPr>
  </w:style>
  <w:style w:type="character" w:customStyle="1" w:styleId="Brdtekst2Tegn">
    <w:name w:val="Brødtekst 2 Tegn"/>
    <w:basedOn w:val="Standardskriftforavsnitt"/>
    <w:link w:val="Brdtekst2"/>
    <w:semiHidden/>
    <w:rsid w:val="002E03C3"/>
    <w:rPr>
      <w:rFonts w:ascii="Times New Roman" w:eastAsia="Times New Roman" w:hAnsi="Times New Roman" w:cs="Times New Roman"/>
      <w:szCs w:val="20"/>
    </w:rPr>
  </w:style>
  <w:style w:type="paragraph" w:styleId="Brdtekst3">
    <w:name w:val="Body Text 3"/>
    <w:basedOn w:val="Normal"/>
    <w:link w:val="Brdtekst3Tegn"/>
    <w:semiHidden/>
    <w:rsid w:val="002E03C3"/>
    <w:pPr>
      <w:spacing w:after="0" w:line="240" w:lineRule="auto"/>
    </w:pPr>
    <w:rPr>
      <w:rFonts w:ascii="Times New Roman" w:eastAsia="Times New Roman" w:hAnsi="Times New Roman" w:cs="Times New Roman"/>
      <w:szCs w:val="24"/>
      <w:lang w:eastAsia="nb-NO"/>
    </w:rPr>
  </w:style>
  <w:style w:type="character" w:customStyle="1" w:styleId="Brdtekst3Tegn">
    <w:name w:val="Brødtekst 3 Tegn"/>
    <w:basedOn w:val="Standardskriftforavsnitt"/>
    <w:link w:val="Brdtekst3"/>
    <w:semiHidden/>
    <w:rsid w:val="002E03C3"/>
    <w:rPr>
      <w:rFonts w:ascii="Times New Roman" w:eastAsia="Times New Roman" w:hAnsi="Times New Roman" w:cs="Times New Roman"/>
      <w:szCs w:val="24"/>
      <w:lang w:eastAsia="nb-NO"/>
    </w:rPr>
  </w:style>
  <w:style w:type="paragraph" w:styleId="Topptekst">
    <w:name w:val="header"/>
    <w:basedOn w:val="Normal"/>
    <w:link w:val="TopptekstTegn"/>
    <w:semiHidden/>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TopptekstTegn">
    <w:name w:val="Topptekst Tegn"/>
    <w:basedOn w:val="Standardskriftforavsnitt"/>
    <w:link w:val="Topptekst"/>
    <w:semiHidden/>
    <w:rsid w:val="002E03C3"/>
    <w:rPr>
      <w:rFonts w:ascii="Times New Roman" w:eastAsia="Times New Roman" w:hAnsi="Times New Roman" w:cs="Times New Roman"/>
      <w:szCs w:val="24"/>
      <w:lang w:eastAsia="nb-NO"/>
    </w:rPr>
  </w:style>
  <w:style w:type="paragraph" w:styleId="Bunntekst">
    <w:name w:val="footer"/>
    <w:basedOn w:val="Normal"/>
    <w:link w:val="BunntekstTegn"/>
    <w:uiPriority w:val="99"/>
    <w:rsid w:val="002E03C3"/>
    <w:pPr>
      <w:tabs>
        <w:tab w:val="center" w:pos="4536"/>
        <w:tab w:val="right" w:pos="9072"/>
      </w:tabs>
      <w:spacing w:after="0" w:line="240" w:lineRule="auto"/>
    </w:pPr>
    <w:rPr>
      <w:rFonts w:ascii="Times New Roman" w:eastAsia="Times New Roman" w:hAnsi="Times New Roman" w:cs="Times New Roman"/>
      <w:szCs w:val="24"/>
      <w:lang w:eastAsia="nb-NO"/>
    </w:rPr>
  </w:style>
  <w:style w:type="character" w:customStyle="1" w:styleId="BunntekstTegn">
    <w:name w:val="Bunntekst Tegn"/>
    <w:basedOn w:val="Standardskriftforavsnitt"/>
    <w:link w:val="Bunntekst"/>
    <w:uiPriority w:val="99"/>
    <w:rsid w:val="002E03C3"/>
    <w:rPr>
      <w:rFonts w:ascii="Times New Roman" w:eastAsia="Times New Roman" w:hAnsi="Times New Roman" w:cs="Times New Roman"/>
      <w:szCs w:val="24"/>
      <w:lang w:eastAsia="nb-NO"/>
    </w:rPr>
  </w:style>
  <w:style w:type="character" w:styleId="Merknadsreferanse">
    <w:name w:val="annotation reference"/>
    <w:semiHidden/>
    <w:rsid w:val="002E03C3"/>
    <w:rPr>
      <w:rFonts w:ascii="Times New Roman" w:hAnsi="Times New Roman" w:cs="Times New Roman"/>
      <w:sz w:val="16"/>
      <w:szCs w:val="16"/>
    </w:rPr>
  </w:style>
  <w:style w:type="character" w:styleId="Hyperkobling">
    <w:name w:val="Hyperlink"/>
    <w:uiPriority w:val="99"/>
    <w:unhideWhenUsed/>
    <w:rsid w:val="002E03C3"/>
    <w:rPr>
      <w:color w:val="0000FF"/>
      <w:u w:val="single"/>
    </w:rPr>
  </w:style>
  <w:style w:type="paragraph" w:styleId="Kommentaremne">
    <w:name w:val="annotation subject"/>
    <w:basedOn w:val="Merknadstekst"/>
    <w:next w:val="Merknadstekst"/>
    <w:link w:val="KommentaremneTegn"/>
    <w:uiPriority w:val="99"/>
    <w:semiHidden/>
    <w:unhideWhenUsed/>
    <w:rsid w:val="002E03C3"/>
    <w:pPr>
      <w:keepLines w:val="0"/>
      <w:widowControl/>
    </w:pPr>
    <w:rPr>
      <w:b/>
      <w:bCs/>
      <w:sz w:val="20"/>
      <w:szCs w:val="20"/>
    </w:rPr>
  </w:style>
  <w:style w:type="character" w:customStyle="1" w:styleId="KommentaremneTegn">
    <w:name w:val="Kommentaremne Tegn"/>
    <w:basedOn w:val="MerknadstekstTegn"/>
    <w:link w:val="Kommentaremne"/>
    <w:uiPriority w:val="99"/>
    <w:semiHidden/>
    <w:rsid w:val="002E03C3"/>
    <w:rPr>
      <w:rFonts w:ascii="Times New Roman" w:eastAsia="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2E03C3"/>
    <w:pPr>
      <w:spacing w:after="0" w:line="240" w:lineRule="auto"/>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2E03C3"/>
    <w:rPr>
      <w:rFonts w:ascii="Tahoma" w:eastAsia="Times New Roman" w:hAnsi="Tahoma" w:cs="Tahoma"/>
      <w:sz w:val="16"/>
      <w:szCs w:val="16"/>
      <w:lang w:eastAsia="nb-NO"/>
    </w:rPr>
  </w:style>
  <w:style w:type="character" w:styleId="Fulgthyperkobling">
    <w:name w:val="FollowedHyperlink"/>
    <w:uiPriority w:val="99"/>
    <w:semiHidden/>
    <w:unhideWhenUsed/>
    <w:rsid w:val="002E03C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3941">
      <w:bodyDiv w:val="1"/>
      <w:marLeft w:val="0"/>
      <w:marRight w:val="0"/>
      <w:marTop w:val="0"/>
      <w:marBottom w:val="0"/>
      <w:divBdr>
        <w:top w:val="none" w:sz="0" w:space="0" w:color="auto"/>
        <w:left w:val="none" w:sz="0" w:space="0" w:color="auto"/>
        <w:bottom w:val="none" w:sz="0" w:space="0" w:color="auto"/>
        <w:right w:val="none" w:sz="0" w:space="0" w:color="auto"/>
      </w:divBdr>
    </w:div>
    <w:div w:id="578756886">
      <w:bodyDiv w:val="1"/>
      <w:marLeft w:val="0"/>
      <w:marRight w:val="0"/>
      <w:marTop w:val="0"/>
      <w:marBottom w:val="0"/>
      <w:divBdr>
        <w:top w:val="none" w:sz="0" w:space="0" w:color="auto"/>
        <w:left w:val="none" w:sz="0" w:space="0" w:color="auto"/>
        <w:bottom w:val="none" w:sz="0" w:space="0" w:color="auto"/>
        <w:right w:val="none" w:sz="0" w:space="0" w:color="auto"/>
      </w:divBdr>
    </w:div>
    <w:div w:id="656881714">
      <w:bodyDiv w:val="1"/>
      <w:marLeft w:val="0"/>
      <w:marRight w:val="0"/>
      <w:marTop w:val="0"/>
      <w:marBottom w:val="0"/>
      <w:divBdr>
        <w:top w:val="none" w:sz="0" w:space="0" w:color="auto"/>
        <w:left w:val="none" w:sz="0" w:space="0" w:color="auto"/>
        <w:bottom w:val="none" w:sz="0" w:space="0" w:color="auto"/>
        <w:right w:val="none" w:sz="0" w:space="0" w:color="auto"/>
      </w:divBdr>
    </w:div>
    <w:div w:id="857816199">
      <w:bodyDiv w:val="1"/>
      <w:marLeft w:val="0"/>
      <w:marRight w:val="0"/>
      <w:marTop w:val="0"/>
      <w:marBottom w:val="0"/>
      <w:divBdr>
        <w:top w:val="none" w:sz="0" w:space="0" w:color="auto"/>
        <w:left w:val="none" w:sz="0" w:space="0" w:color="auto"/>
        <w:bottom w:val="none" w:sz="0" w:space="0" w:color="auto"/>
        <w:right w:val="none" w:sz="0" w:space="0" w:color="auto"/>
      </w:divBdr>
    </w:div>
    <w:div w:id="1073048755">
      <w:bodyDiv w:val="1"/>
      <w:marLeft w:val="0"/>
      <w:marRight w:val="0"/>
      <w:marTop w:val="0"/>
      <w:marBottom w:val="0"/>
      <w:divBdr>
        <w:top w:val="none" w:sz="0" w:space="0" w:color="auto"/>
        <w:left w:val="none" w:sz="0" w:space="0" w:color="auto"/>
        <w:bottom w:val="none" w:sz="0" w:space="0" w:color="auto"/>
        <w:right w:val="none" w:sz="0" w:space="0" w:color="auto"/>
      </w:divBdr>
    </w:div>
    <w:div w:id="1254314222">
      <w:bodyDiv w:val="1"/>
      <w:marLeft w:val="0"/>
      <w:marRight w:val="0"/>
      <w:marTop w:val="0"/>
      <w:marBottom w:val="0"/>
      <w:divBdr>
        <w:top w:val="none" w:sz="0" w:space="0" w:color="auto"/>
        <w:left w:val="none" w:sz="0" w:space="0" w:color="auto"/>
        <w:bottom w:val="none" w:sz="0" w:space="0" w:color="auto"/>
        <w:right w:val="none" w:sz="0" w:space="0" w:color="auto"/>
      </w:divBdr>
    </w:div>
    <w:div w:id="1445231751">
      <w:bodyDiv w:val="1"/>
      <w:marLeft w:val="0"/>
      <w:marRight w:val="0"/>
      <w:marTop w:val="0"/>
      <w:marBottom w:val="0"/>
      <w:divBdr>
        <w:top w:val="none" w:sz="0" w:space="0" w:color="auto"/>
        <w:left w:val="none" w:sz="0" w:space="0" w:color="auto"/>
        <w:bottom w:val="none" w:sz="0" w:space="0" w:color="auto"/>
        <w:right w:val="none" w:sz="0" w:space="0" w:color="auto"/>
      </w:divBdr>
    </w:div>
    <w:div w:id="17893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A1A17-948A-43F0-AA52-B7A40E4E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5740</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Syversen, Bent J.</dc:creator>
  <cp:lastModifiedBy>Syversen, Bent J.</cp:lastModifiedBy>
  <cp:revision>3</cp:revision>
  <dcterms:created xsi:type="dcterms:W3CDTF">2013-11-22T09:33:00Z</dcterms:created>
  <dcterms:modified xsi:type="dcterms:W3CDTF">2013-11-22T09:34:00Z</dcterms:modified>
</cp:coreProperties>
</file>