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6198"/>
        <w:gridCol w:w="709"/>
        <w:gridCol w:w="6275"/>
      </w:tblGrid>
      <w:tr w:rsidR="00B54990" w:rsidRPr="002E03C3" w:rsidTr="00115E01">
        <w:tc>
          <w:tcPr>
            <w:tcW w:w="960" w:type="dxa"/>
          </w:tcPr>
          <w:p w:rsidR="002E03C3" w:rsidRPr="002E03C3" w:rsidRDefault="002E03C3" w:rsidP="002E03C3">
            <w:pPr>
              <w:rPr>
                <w:b/>
                <w:bCs/>
              </w:rPr>
            </w:pPr>
            <w:bookmarkStart w:id="0" w:name="_GoBack"/>
            <w:bookmarkEnd w:id="0"/>
            <w:proofErr w:type="spellStart"/>
            <w:r w:rsidRPr="002E03C3">
              <w:rPr>
                <w:b/>
                <w:bCs/>
              </w:rPr>
              <w:t>Pkt</w:t>
            </w:r>
            <w:proofErr w:type="spellEnd"/>
          </w:p>
        </w:tc>
        <w:tc>
          <w:tcPr>
            <w:tcW w:w="6198" w:type="dxa"/>
          </w:tcPr>
          <w:p w:rsidR="002E03C3" w:rsidRPr="002E03C3" w:rsidRDefault="00B54990" w:rsidP="00B54990">
            <w:pPr>
              <w:rPr>
                <w:b/>
                <w:bCs/>
              </w:rPr>
            </w:pPr>
            <w:r>
              <w:rPr>
                <w:b/>
                <w:bCs/>
              </w:rPr>
              <w:t>SSA-S</w:t>
            </w:r>
            <w:r w:rsidR="002E03C3" w:rsidRPr="002E03C3">
              <w:rPr>
                <w:b/>
                <w:bCs/>
              </w:rPr>
              <w:t xml:space="preserve"> versjon </w:t>
            </w:r>
            <w:r>
              <w:rPr>
                <w:b/>
                <w:bCs/>
              </w:rPr>
              <w:t>15.1.2014</w:t>
            </w:r>
          </w:p>
        </w:tc>
        <w:tc>
          <w:tcPr>
            <w:tcW w:w="709" w:type="dxa"/>
          </w:tcPr>
          <w:p w:rsidR="002E03C3" w:rsidRPr="002E03C3" w:rsidRDefault="002E03C3" w:rsidP="002E03C3">
            <w:pPr>
              <w:rPr>
                <w:b/>
                <w:bCs/>
              </w:rPr>
            </w:pPr>
            <w:proofErr w:type="spellStart"/>
            <w:r w:rsidRPr="002E03C3">
              <w:rPr>
                <w:b/>
                <w:bCs/>
              </w:rPr>
              <w:t>Pkt</w:t>
            </w:r>
            <w:proofErr w:type="spellEnd"/>
          </w:p>
        </w:tc>
        <w:tc>
          <w:tcPr>
            <w:tcW w:w="6275" w:type="dxa"/>
          </w:tcPr>
          <w:p w:rsidR="002E03C3" w:rsidRPr="002E03C3" w:rsidRDefault="00340592" w:rsidP="00B54990">
            <w:pPr>
              <w:rPr>
                <w:b/>
                <w:bCs/>
              </w:rPr>
            </w:pPr>
            <w:r>
              <w:rPr>
                <w:b/>
                <w:bCs/>
              </w:rPr>
              <w:t>SSA-</w:t>
            </w:r>
            <w:r w:rsidR="00B54990">
              <w:rPr>
                <w:b/>
                <w:bCs/>
              </w:rPr>
              <w:t xml:space="preserve">S </w:t>
            </w:r>
            <w:r w:rsidR="002E03C3" w:rsidRPr="002E03C3">
              <w:rPr>
                <w:b/>
                <w:bCs/>
              </w:rPr>
              <w:t xml:space="preserve">versjon </w:t>
            </w:r>
            <w:r w:rsidR="005457F0">
              <w:rPr>
                <w:b/>
                <w:bCs/>
              </w:rPr>
              <w:t>14</w:t>
            </w:r>
            <w:r w:rsidR="00A116FD">
              <w:rPr>
                <w:b/>
                <w:bCs/>
              </w:rPr>
              <w:t>.4.2014</w:t>
            </w:r>
          </w:p>
        </w:tc>
      </w:tr>
      <w:tr w:rsidR="00D36DF7" w:rsidRPr="002E03C3" w:rsidTr="00115E01">
        <w:tc>
          <w:tcPr>
            <w:tcW w:w="960" w:type="dxa"/>
          </w:tcPr>
          <w:p w:rsidR="00D36DF7" w:rsidRDefault="009E1004" w:rsidP="00A9684D">
            <w:pPr>
              <w:rPr>
                <w:b/>
                <w:bCs/>
              </w:rPr>
            </w:pPr>
            <w:r>
              <w:rPr>
                <w:b/>
                <w:bCs/>
              </w:rPr>
              <w:t>2.1.2</w:t>
            </w:r>
          </w:p>
          <w:p w:rsidR="009E1004" w:rsidRDefault="009E1004" w:rsidP="00A9684D">
            <w:pPr>
              <w:rPr>
                <w:b/>
                <w:bCs/>
              </w:rPr>
            </w:pPr>
            <w:r>
              <w:rPr>
                <w:b/>
                <w:bCs/>
              </w:rPr>
              <w:t>Annet avsnitt</w:t>
            </w:r>
          </w:p>
        </w:tc>
        <w:tc>
          <w:tcPr>
            <w:tcW w:w="6198" w:type="dxa"/>
          </w:tcPr>
          <w:p w:rsidR="009E1004" w:rsidRDefault="009E1004" w:rsidP="009E1004">
            <w:pPr>
              <w:pStyle w:val="Overskrift3"/>
            </w:pPr>
            <w:bookmarkStart w:id="1" w:name="_Toc377405330"/>
            <w:bookmarkStart w:id="2" w:name="_Toc384891551"/>
            <w:r w:rsidRPr="00B22FF4">
              <w:t>Øvrige leveranseelementer</w:t>
            </w:r>
            <w:bookmarkEnd w:id="1"/>
            <w:bookmarkEnd w:id="2"/>
          </w:p>
          <w:p w:rsidR="00D36DF7" w:rsidRDefault="00D36DF7" w:rsidP="00D36DF7">
            <w:r>
              <w:t xml:space="preserve">Leverandøren skal sørge for at Øvrige leveranseelementer blir levert i tide til at akseptansetest kan skje i henhold til prosjekt- og milepælsplanen i bilag 4. </w:t>
            </w:r>
          </w:p>
        </w:tc>
        <w:tc>
          <w:tcPr>
            <w:tcW w:w="709" w:type="dxa"/>
          </w:tcPr>
          <w:p w:rsidR="00D36DF7" w:rsidRDefault="00D36DF7" w:rsidP="00A9684D">
            <w:pPr>
              <w:rPr>
                <w:b/>
                <w:bCs/>
              </w:rPr>
            </w:pPr>
          </w:p>
        </w:tc>
        <w:tc>
          <w:tcPr>
            <w:tcW w:w="6275" w:type="dxa"/>
          </w:tcPr>
          <w:p w:rsidR="009E1004" w:rsidRDefault="009E1004" w:rsidP="009E1004">
            <w:pPr>
              <w:pStyle w:val="Overskrift3"/>
            </w:pPr>
            <w:r w:rsidRPr="00B22FF4">
              <w:t>Øvrige leveranseelementer</w:t>
            </w:r>
          </w:p>
          <w:p w:rsidR="00D36DF7" w:rsidRPr="0041061B" w:rsidRDefault="009E1004" w:rsidP="0041061B">
            <w:pPr>
              <w:rPr>
                <w:i/>
              </w:rPr>
            </w:pPr>
            <w:r w:rsidRPr="0041061B">
              <w:rPr>
                <w:i/>
              </w:rPr>
              <w:t>Punktet strykes</w:t>
            </w:r>
          </w:p>
        </w:tc>
      </w:tr>
      <w:tr w:rsidR="00971CB7" w:rsidRPr="002E03C3" w:rsidTr="00115E01">
        <w:tc>
          <w:tcPr>
            <w:tcW w:w="960" w:type="dxa"/>
          </w:tcPr>
          <w:p w:rsidR="00971CB7" w:rsidRDefault="00971CB7" w:rsidP="00A9684D">
            <w:pPr>
              <w:rPr>
                <w:b/>
                <w:bCs/>
              </w:rPr>
            </w:pPr>
            <w:r>
              <w:rPr>
                <w:b/>
                <w:bCs/>
              </w:rPr>
              <w:t>2.2.3</w:t>
            </w:r>
          </w:p>
        </w:tc>
        <w:tc>
          <w:tcPr>
            <w:tcW w:w="6198" w:type="dxa"/>
          </w:tcPr>
          <w:p w:rsidR="00971CB7" w:rsidRDefault="00971CB7" w:rsidP="00971CB7">
            <w:pPr>
              <w:pStyle w:val="Overskrift3"/>
            </w:pPr>
            <w:r>
              <w:t>Teststrategi</w:t>
            </w:r>
          </w:p>
          <w:p w:rsidR="00971CB7" w:rsidRPr="00B54990" w:rsidRDefault="00971CB7" w:rsidP="00971CB7">
            <w:r w:rsidRPr="00DF49C7">
              <w:t>Overordnet Teststrategi skal inngå i bilag 5. Innenfor rammene av den overordnede Teststrategien</w:t>
            </w:r>
            <w:r>
              <w:t xml:space="preserve"> skal partene, senest i forbindelse med planlegging av den første Delleveransen, utarbeide en omforent Teststrategi som dekker både Leverandørens og Kundens testing.</w:t>
            </w:r>
          </w:p>
        </w:tc>
        <w:tc>
          <w:tcPr>
            <w:tcW w:w="709" w:type="dxa"/>
          </w:tcPr>
          <w:p w:rsidR="00971CB7" w:rsidRDefault="00971CB7" w:rsidP="00A9684D">
            <w:pPr>
              <w:rPr>
                <w:b/>
                <w:bCs/>
              </w:rPr>
            </w:pPr>
          </w:p>
        </w:tc>
        <w:tc>
          <w:tcPr>
            <w:tcW w:w="6275" w:type="dxa"/>
          </w:tcPr>
          <w:p w:rsidR="00971CB7" w:rsidRDefault="00971CB7" w:rsidP="00971CB7">
            <w:pPr>
              <w:pStyle w:val="Overskrift3"/>
            </w:pPr>
            <w:bookmarkStart w:id="3" w:name="_Toc377405334"/>
            <w:bookmarkStart w:id="4" w:name="_Toc377548169"/>
            <w:r>
              <w:t>Teststrategi</w:t>
            </w:r>
            <w:bookmarkEnd w:id="3"/>
            <w:bookmarkEnd w:id="4"/>
          </w:p>
          <w:p w:rsidR="00971CB7" w:rsidRPr="00B54990" w:rsidRDefault="00971CB7" w:rsidP="00BF455D">
            <w:r w:rsidRPr="00DF49C7">
              <w:t>Innenfor rammene av Kundens og Leverandørens teststrategi</w:t>
            </w:r>
            <w:r w:rsidR="00DF49C7" w:rsidRPr="00DF49C7">
              <w:t>er</w:t>
            </w:r>
            <w:r>
              <w:t>, skal partene, senest i forbindelse med planlegging av den første Delleveransen, utarbeide en omforent Teststrategi som dekker både Leverandørens og Kundens testing.</w:t>
            </w:r>
            <w:r w:rsidR="00BF455D">
              <w:t xml:space="preserve"> Den omforente teststrategien skal inngå i bilag 5. </w:t>
            </w:r>
          </w:p>
        </w:tc>
      </w:tr>
      <w:tr w:rsidR="004D6D58" w:rsidRPr="002E03C3" w:rsidTr="00115E01">
        <w:tc>
          <w:tcPr>
            <w:tcW w:w="960" w:type="dxa"/>
          </w:tcPr>
          <w:p w:rsidR="004D6D58" w:rsidRDefault="004D6D58" w:rsidP="00A9684D">
            <w:pPr>
              <w:rPr>
                <w:b/>
                <w:bCs/>
              </w:rPr>
            </w:pPr>
            <w:r>
              <w:rPr>
                <w:b/>
                <w:bCs/>
              </w:rPr>
              <w:t>2.2.3</w:t>
            </w:r>
            <w:r w:rsidR="00BF7048">
              <w:rPr>
                <w:b/>
                <w:bCs/>
              </w:rPr>
              <w:t>, tredje avsnitt</w:t>
            </w:r>
          </w:p>
        </w:tc>
        <w:tc>
          <w:tcPr>
            <w:tcW w:w="6198" w:type="dxa"/>
          </w:tcPr>
          <w:p w:rsidR="009E1004" w:rsidRDefault="009E1004" w:rsidP="009E1004">
            <w:pPr>
              <w:pStyle w:val="Overskrift3"/>
            </w:pPr>
            <w:r>
              <w:t>Teststrategi</w:t>
            </w:r>
          </w:p>
          <w:p w:rsidR="004D6D58" w:rsidRDefault="004D6D58" w:rsidP="004D6D58">
            <w:r>
              <w:t>Den omforente Teststrategien skal som et minimum inneholde:</w:t>
            </w:r>
          </w:p>
          <w:p w:rsidR="004D6D58" w:rsidRDefault="004D6D58" w:rsidP="004D6D58">
            <w:pPr>
              <w:pStyle w:val="Listeavsnitt"/>
              <w:numPr>
                <w:ilvl w:val="0"/>
                <w:numId w:val="26"/>
              </w:numPr>
              <w:tabs>
                <w:tab w:val="clear" w:pos="1080"/>
              </w:tabs>
              <w:ind w:left="720"/>
            </w:pPr>
            <w:r>
              <w:t>Roller og ansvar</w:t>
            </w:r>
          </w:p>
          <w:p w:rsidR="004D6D58" w:rsidRDefault="004D6D58" w:rsidP="004D6D58">
            <w:pPr>
              <w:pStyle w:val="Listeavsnitt"/>
              <w:numPr>
                <w:ilvl w:val="0"/>
                <w:numId w:val="26"/>
              </w:numPr>
              <w:tabs>
                <w:tab w:val="clear" w:pos="1080"/>
              </w:tabs>
              <w:ind w:left="720"/>
            </w:pPr>
            <w:r>
              <w:t>Testmetodikk</w:t>
            </w:r>
          </w:p>
          <w:p w:rsidR="004D6D58" w:rsidRDefault="004D6D58" w:rsidP="004D6D58">
            <w:pPr>
              <w:pStyle w:val="Listeavsnitt"/>
              <w:numPr>
                <w:ilvl w:val="0"/>
                <w:numId w:val="26"/>
              </w:numPr>
              <w:tabs>
                <w:tab w:val="clear" w:pos="1080"/>
              </w:tabs>
              <w:ind w:left="720"/>
            </w:pPr>
            <w:r>
              <w:t>Beskrivelse av Leverandørens og Kundens tester</w:t>
            </w:r>
          </w:p>
          <w:p w:rsidR="004D6D58" w:rsidRDefault="004D6D58" w:rsidP="004D6D58">
            <w:pPr>
              <w:pStyle w:val="Listeavsnitt"/>
              <w:numPr>
                <w:ilvl w:val="0"/>
                <w:numId w:val="26"/>
              </w:numPr>
              <w:tabs>
                <w:tab w:val="clear" w:pos="1080"/>
              </w:tabs>
              <w:ind w:left="720"/>
            </w:pPr>
            <w:r>
              <w:t>Testforløpet (rekkefølge på testnivåer)</w:t>
            </w:r>
          </w:p>
          <w:p w:rsidR="004D6D58" w:rsidRDefault="004D6D58" w:rsidP="004D6D58">
            <w:pPr>
              <w:pStyle w:val="Listeavsnitt"/>
              <w:numPr>
                <w:ilvl w:val="0"/>
                <w:numId w:val="26"/>
              </w:numPr>
              <w:tabs>
                <w:tab w:val="clear" w:pos="1080"/>
              </w:tabs>
              <w:ind w:left="720"/>
            </w:pPr>
            <w:r>
              <w:t>Testverktøy og standarder</w:t>
            </w:r>
          </w:p>
          <w:p w:rsidR="004D6D58" w:rsidRDefault="004D6D58" w:rsidP="004D6D58">
            <w:pPr>
              <w:pStyle w:val="Listeavsnitt"/>
              <w:numPr>
                <w:ilvl w:val="0"/>
                <w:numId w:val="26"/>
              </w:numPr>
              <w:tabs>
                <w:tab w:val="clear" w:pos="1080"/>
              </w:tabs>
              <w:ind w:left="720"/>
            </w:pPr>
            <w:r w:rsidRPr="007E456B">
              <w:t>Testmiljøer</w:t>
            </w:r>
          </w:p>
          <w:p w:rsidR="004D6D58" w:rsidRDefault="004D6D58" w:rsidP="004D6D58">
            <w:pPr>
              <w:pStyle w:val="Listeavsnitt"/>
              <w:numPr>
                <w:ilvl w:val="0"/>
                <w:numId w:val="26"/>
              </w:numPr>
              <w:tabs>
                <w:tab w:val="clear" w:pos="1080"/>
              </w:tabs>
              <w:ind w:left="720"/>
            </w:pPr>
            <w:r>
              <w:t>Testmateriell</w:t>
            </w:r>
          </w:p>
          <w:p w:rsidR="004D6D58" w:rsidRPr="007E456B" w:rsidRDefault="004D6D58" w:rsidP="004D6D58">
            <w:pPr>
              <w:pStyle w:val="Listeavsnitt"/>
              <w:numPr>
                <w:ilvl w:val="0"/>
                <w:numId w:val="26"/>
              </w:numPr>
              <w:tabs>
                <w:tab w:val="clear" w:pos="1080"/>
              </w:tabs>
              <w:ind w:left="720"/>
            </w:pPr>
            <w:r w:rsidRPr="007E456B">
              <w:t>Start-, Slutt- og Avbruddskriterier for Kundens Akseptansetest</w:t>
            </w:r>
          </w:p>
          <w:p w:rsidR="004D6D58" w:rsidRDefault="004D6D58" w:rsidP="004D6D58">
            <w:pPr>
              <w:pStyle w:val="Listeavsnitt"/>
              <w:numPr>
                <w:ilvl w:val="0"/>
                <w:numId w:val="26"/>
              </w:numPr>
              <w:tabs>
                <w:tab w:val="clear" w:pos="1080"/>
              </w:tabs>
              <w:ind w:left="720"/>
            </w:pPr>
            <w:r w:rsidRPr="000455C4">
              <w:t>Flyt for håndtering av hendelser/feil</w:t>
            </w:r>
            <w:r>
              <w:t>,</w:t>
            </w:r>
            <w:r w:rsidRPr="000455C4">
              <w:t xml:space="preserve"> feilretting og retesting av de enkelte Delleveranser</w:t>
            </w:r>
          </w:p>
          <w:p w:rsidR="004D6D58" w:rsidRDefault="004D6D58" w:rsidP="004D6D58">
            <w:pPr>
              <w:pStyle w:val="Listeavsnitt"/>
              <w:numPr>
                <w:ilvl w:val="0"/>
                <w:numId w:val="26"/>
              </w:numPr>
              <w:tabs>
                <w:tab w:val="clear" w:pos="1080"/>
              </w:tabs>
              <w:ind w:left="720"/>
            </w:pPr>
            <w:r>
              <w:t xml:space="preserve">Strategi for hvordan sikre at antall samlede feil ikke </w:t>
            </w:r>
            <w:r>
              <w:lastRenderedPageBreak/>
              <w:t>overskrider Akseptansekriteriene for Leveransen som helhet</w:t>
            </w:r>
          </w:p>
          <w:p w:rsidR="004D6D58" w:rsidRPr="004D6D58" w:rsidRDefault="004D6D58" w:rsidP="004D6D58">
            <w:pPr>
              <w:pStyle w:val="Listeavsnitt"/>
              <w:numPr>
                <w:ilvl w:val="0"/>
                <w:numId w:val="26"/>
              </w:numPr>
              <w:tabs>
                <w:tab w:val="clear" w:pos="1080"/>
              </w:tabs>
              <w:ind w:left="720"/>
              <w:rPr>
                <w:i/>
              </w:rPr>
            </w:pPr>
            <w:r>
              <w:t>Testbarhet</w:t>
            </w:r>
          </w:p>
        </w:tc>
        <w:tc>
          <w:tcPr>
            <w:tcW w:w="709" w:type="dxa"/>
          </w:tcPr>
          <w:p w:rsidR="004D6D58" w:rsidRDefault="004D6D58" w:rsidP="00A9684D">
            <w:pPr>
              <w:rPr>
                <w:b/>
                <w:bCs/>
              </w:rPr>
            </w:pPr>
          </w:p>
        </w:tc>
        <w:tc>
          <w:tcPr>
            <w:tcW w:w="6275" w:type="dxa"/>
          </w:tcPr>
          <w:p w:rsidR="009E1004" w:rsidRDefault="009E1004" w:rsidP="009E1004">
            <w:pPr>
              <w:pStyle w:val="Overskrift3"/>
            </w:pPr>
            <w:r>
              <w:t>Teststrategi</w:t>
            </w:r>
          </w:p>
          <w:p w:rsidR="004D6D58" w:rsidRPr="0041061B" w:rsidRDefault="009E1004" w:rsidP="0041061B">
            <w:pPr>
              <w:rPr>
                <w:i/>
              </w:rPr>
            </w:pPr>
            <w:r w:rsidRPr="0041061B">
              <w:rPr>
                <w:i/>
              </w:rPr>
              <w:t>Tredje avsnitt s</w:t>
            </w:r>
            <w:r w:rsidR="00BF455D" w:rsidRPr="0041061B">
              <w:rPr>
                <w:i/>
              </w:rPr>
              <w:t xml:space="preserve">trykes i avtaleteksten og </w:t>
            </w:r>
            <w:r w:rsidR="00896202" w:rsidRPr="0041061B">
              <w:rPr>
                <w:i/>
              </w:rPr>
              <w:t xml:space="preserve">en tilsvarende punktliste </w:t>
            </w:r>
            <w:r w:rsidR="00BF455D" w:rsidRPr="0041061B">
              <w:rPr>
                <w:i/>
              </w:rPr>
              <w:t>tas isteden inn i veiledningen til bilag 5</w:t>
            </w:r>
            <w:r w:rsidR="00DF49C7" w:rsidRPr="0041061B">
              <w:rPr>
                <w:i/>
              </w:rPr>
              <w:t xml:space="preserve"> i </w:t>
            </w:r>
            <w:r w:rsidRPr="0041061B">
              <w:rPr>
                <w:i/>
              </w:rPr>
              <w:t>«</w:t>
            </w:r>
            <w:r w:rsidR="00DF49C7" w:rsidRPr="0041061B">
              <w:rPr>
                <w:i/>
              </w:rPr>
              <w:t>Veiledning til bilag</w:t>
            </w:r>
            <w:r w:rsidRPr="0041061B">
              <w:rPr>
                <w:i/>
              </w:rPr>
              <w:t>»</w:t>
            </w:r>
            <w:r w:rsidR="00DF49C7" w:rsidRPr="0041061B">
              <w:rPr>
                <w:i/>
              </w:rPr>
              <w:t>.</w:t>
            </w:r>
          </w:p>
        </w:tc>
      </w:tr>
      <w:tr w:rsidR="007B461F" w:rsidRPr="002E03C3" w:rsidTr="00115E01">
        <w:tc>
          <w:tcPr>
            <w:tcW w:w="960" w:type="dxa"/>
          </w:tcPr>
          <w:p w:rsidR="007B461F" w:rsidRDefault="007B461F" w:rsidP="00A9684D">
            <w:pPr>
              <w:rPr>
                <w:b/>
                <w:bCs/>
              </w:rPr>
            </w:pPr>
            <w:r>
              <w:rPr>
                <w:b/>
                <w:bCs/>
              </w:rPr>
              <w:lastRenderedPageBreak/>
              <w:t>2.3.2</w:t>
            </w:r>
          </w:p>
          <w:p w:rsidR="007B461F" w:rsidRDefault="007B461F" w:rsidP="00A9684D">
            <w:pPr>
              <w:rPr>
                <w:b/>
                <w:bCs/>
              </w:rPr>
            </w:pPr>
            <w:r>
              <w:rPr>
                <w:b/>
                <w:bCs/>
              </w:rPr>
              <w:t xml:space="preserve">annet </w:t>
            </w:r>
            <w:r w:rsidR="001551C3">
              <w:rPr>
                <w:b/>
                <w:bCs/>
              </w:rPr>
              <w:t xml:space="preserve">og tredje </w:t>
            </w:r>
            <w:r>
              <w:rPr>
                <w:b/>
                <w:bCs/>
              </w:rPr>
              <w:t>avsnitt</w:t>
            </w:r>
          </w:p>
        </w:tc>
        <w:tc>
          <w:tcPr>
            <w:tcW w:w="6198" w:type="dxa"/>
          </w:tcPr>
          <w:p w:rsidR="007B461F" w:rsidRPr="0041061B" w:rsidRDefault="007B461F" w:rsidP="0041061B">
            <w:pPr>
              <w:pStyle w:val="Overskrift3"/>
            </w:pPr>
            <w:r w:rsidRPr="0041061B">
              <w:t>Leverandørens tester</w:t>
            </w:r>
          </w:p>
          <w:p w:rsidR="007B461F" w:rsidRDefault="007B461F" w:rsidP="007B461F">
            <w:r>
              <w:t xml:space="preserve">Leverandøren skal godtgjøre at Programvaren tilfredsstiller Startkriteriene for Akseptansetesten og ikke har flere feil enn det som er Akseptansekriteriene for Delleveransen. Startkriteriene og Akseptansekriteriene fremgår av Teststrategien i bilag 5. </w:t>
            </w:r>
          </w:p>
          <w:p w:rsidR="001551C3" w:rsidRDefault="001551C3" w:rsidP="007B461F">
            <w:r>
              <w:t>Leverandørens testing skal foregå som beskrevet i bilag 5.</w:t>
            </w:r>
          </w:p>
          <w:p w:rsidR="007B461F" w:rsidRPr="007B461F" w:rsidRDefault="007B461F" w:rsidP="007B461F"/>
        </w:tc>
        <w:tc>
          <w:tcPr>
            <w:tcW w:w="709" w:type="dxa"/>
          </w:tcPr>
          <w:p w:rsidR="007B461F" w:rsidRDefault="007B461F" w:rsidP="00A9684D">
            <w:pPr>
              <w:rPr>
                <w:b/>
                <w:bCs/>
              </w:rPr>
            </w:pPr>
          </w:p>
        </w:tc>
        <w:tc>
          <w:tcPr>
            <w:tcW w:w="6275" w:type="dxa"/>
          </w:tcPr>
          <w:p w:rsidR="007B461F" w:rsidRDefault="007B461F" w:rsidP="0041061B">
            <w:pPr>
              <w:pStyle w:val="Overskrift3"/>
            </w:pPr>
            <w:r>
              <w:t>Leverandørens tester</w:t>
            </w:r>
          </w:p>
          <w:p w:rsidR="001551C3" w:rsidRDefault="001551C3" w:rsidP="001551C3">
            <w:r>
              <w:t>Leverandøren skal godtgjøre at Programvaren ikke har flere feil enn det som er Akseptansekriteriene for Delleveransen. Dersom Leverandøren ikke kan godtgjøre dette, skal feilene rettes vederlagsfritt frem til Akseptansekriteriene er oppfylt.</w:t>
            </w:r>
          </w:p>
          <w:p w:rsidR="001551C3" w:rsidRPr="00B54990" w:rsidRDefault="001551C3" w:rsidP="000D57E1">
            <w:r>
              <w:t xml:space="preserve"> Leverandørens testing skal foregå som beskrevet i Teststrategien i bilag 5. Akseptansekriteriene for Delleveransen skal fremgå av Teststrategien i bilag 5.</w:t>
            </w:r>
          </w:p>
        </w:tc>
      </w:tr>
      <w:tr w:rsidR="00A9684D" w:rsidRPr="002E03C3" w:rsidTr="00115E01">
        <w:tc>
          <w:tcPr>
            <w:tcW w:w="960" w:type="dxa"/>
          </w:tcPr>
          <w:p w:rsidR="00A9684D" w:rsidRDefault="00A9684D" w:rsidP="00A9684D">
            <w:pPr>
              <w:rPr>
                <w:b/>
                <w:bCs/>
              </w:rPr>
            </w:pPr>
            <w:r>
              <w:rPr>
                <w:b/>
                <w:bCs/>
              </w:rPr>
              <w:t>2.3.3</w:t>
            </w:r>
          </w:p>
          <w:p w:rsidR="00A9684D" w:rsidRDefault="001A16F7" w:rsidP="001A16F7">
            <w:pPr>
              <w:rPr>
                <w:b/>
                <w:bCs/>
              </w:rPr>
            </w:pPr>
            <w:r>
              <w:rPr>
                <w:b/>
              </w:rPr>
              <w:t xml:space="preserve">Def. av B-feil, første </w:t>
            </w:r>
            <w:proofErr w:type="spellStart"/>
            <w:r>
              <w:rPr>
                <w:b/>
              </w:rPr>
              <w:t>kulepkt</w:t>
            </w:r>
            <w:proofErr w:type="spellEnd"/>
            <w:r>
              <w:rPr>
                <w:b/>
              </w:rPr>
              <w:t>.</w:t>
            </w:r>
          </w:p>
        </w:tc>
        <w:tc>
          <w:tcPr>
            <w:tcW w:w="6198" w:type="dxa"/>
          </w:tcPr>
          <w:p w:rsidR="00A9684D" w:rsidRDefault="00A9684D" w:rsidP="0041061B">
            <w:pPr>
              <w:pStyle w:val="Overskrift3"/>
            </w:pPr>
            <w:r w:rsidRPr="00B54990">
              <w:t xml:space="preserve">Kundens akseptansetest av delleveransen </w:t>
            </w:r>
          </w:p>
          <w:p w:rsidR="00A9684D" w:rsidRPr="00B54990" w:rsidRDefault="00A9684D" w:rsidP="001A16F7">
            <w:pPr>
              <w:pStyle w:val="Listeavsnitt"/>
              <w:numPr>
                <w:ilvl w:val="0"/>
                <w:numId w:val="23"/>
              </w:numPr>
            </w:pPr>
            <w:r>
              <w:t>Feil som fører til at funksjoner som er viktige for Kunden ikke virker som beskrevet i avtalen og som det er tids- og ressurskrevende å omgå.</w:t>
            </w:r>
          </w:p>
        </w:tc>
        <w:tc>
          <w:tcPr>
            <w:tcW w:w="709" w:type="dxa"/>
          </w:tcPr>
          <w:p w:rsidR="00A9684D" w:rsidRDefault="00A9684D" w:rsidP="00A9684D">
            <w:pPr>
              <w:rPr>
                <w:b/>
                <w:bCs/>
              </w:rPr>
            </w:pPr>
            <w:r>
              <w:rPr>
                <w:b/>
                <w:bCs/>
              </w:rPr>
              <w:t>2.3.3</w:t>
            </w:r>
          </w:p>
        </w:tc>
        <w:tc>
          <w:tcPr>
            <w:tcW w:w="6275" w:type="dxa"/>
          </w:tcPr>
          <w:p w:rsidR="00A9684D" w:rsidRPr="00B54990" w:rsidRDefault="00A9684D" w:rsidP="0041061B">
            <w:pPr>
              <w:pStyle w:val="Overskrift3"/>
            </w:pPr>
            <w:r w:rsidRPr="00B54990">
              <w:t xml:space="preserve">Kundens akseptansetest av delleveransen </w:t>
            </w:r>
          </w:p>
          <w:p w:rsidR="00EF12BF" w:rsidRPr="00EF12BF" w:rsidRDefault="00A9684D" w:rsidP="001A16F7">
            <w:pPr>
              <w:pStyle w:val="Listeavsnitt"/>
              <w:numPr>
                <w:ilvl w:val="0"/>
                <w:numId w:val="23"/>
              </w:numPr>
            </w:pPr>
            <w:r w:rsidRPr="001A16F7">
              <w:t>Feil som fører til at funksjoner som</w:t>
            </w:r>
            <w:r w:rsidR="000D57E1">
              <w:t>,</w:t>
            </w:r>
            <w:r w:rsidRPr="001A16F7">
              <w:t xml:space="preserve"> </w:t>
            </w:r>
            <w:r w:rsidR="00EF12BF" w:rsidRPr="001A16F7">
              <w:t xml:space="preserve">ut fra en objektiv vurdering </w:t>
            </w:r>
            <w:r w:rsidRPr="001A16F7">
              <w:t>er viktige for Kunden</w:t>
            </w:r>
            <w:r w:rsidR="00EF12BF" w:rsidRPr="001A16F7">
              <w:t>s virksomhet</w:t>
            </w:r>
            <w:r w:rsidR="000D57E1">
              <w:t>,</w:t>
            </w:r>
            <w:r w:rsidR="00EF12BF" w:rsidRPr="001A16F7">
              <w:t xml:space="preserve"> </w:t>
            </w:r>
            <w:r w:rsidRPr="001A16F7">
              <w:t>ikke virker som beskrevet i avtalen og som det er tids- og ressurskrevende å omgå.</w:t>
            </w:r>
          </w:p>
        </w:tc>
      </w:tr>
      <w:tr w:rsidR="00B54990" w:rsidRPr="002E03C3" w:rsidTr="00115E01">
        <w:tc>
          <w:tcPr>
            <w:tcW w:w="960" w:type="dxa"/>
          </w:tcPr>
          <w:p w:rsidR="00195450" w:rsidRDefault="00B54990" w:rsidP="00A9684D">
            <w:pPr>
              <w:rPr>
                <w:b/>
                <w:bCs/>
              </w:rPr>
            </w:pPr>
            <w:r>
              <w:rPr>
                <w:b/>
                <w:bCs/>
              </w:rPr>
              <w:t>2.3.3</w:t>
            </w:r>
          </w:p>
          <w:p w:rsidR="00B54990" w:rsidRDefault="00B54990" w:rsidP="00A9684D">
            <w:pPr>
              <w:rPr>
                <w:b/>
                <w:bCs/>
              </w:rPr>
            </w:pPr>
          </w:p>
          <w:p w:rsidR="00195450" w:rsidRPr="002E03C3" w:rsidRDefault="00B54990" w:rsidP="00A9684D">
            <w:pPr>
              <w:rPr>
                <w:b/>
                <w:bCs/>
              </w:rPr>
            </w:pPr>
            <w:r>
              <w:rPr>
                <w:b/>
                <w:bCs/>
              </w:rPr>
              <w:t>(tredje avsnitt etter tabellen)</w:t>
            </w:r>
          </w:p>
        </w:tc>
        <w:tc>
          <w:tcPr>
            <w:tcW w:w="6198" w:type="dxa"/>
          </w:tcPr>
          <w:p w:rsidR="00195450" w:rsidRPr="009E1004" w:rsidRDefault="00B54990" w:rsidP="0041061B">
            <w:pPr>
              <w:pStyle w:val="Overskrift3"/>
            </w:pPr>
            <w:r w:rsidRPr="009E1004">
              <w:t>Kundens akseptansetest av delleveransen</w:t>
            </w:r>
            <w:r w:rsidR="00195450" w:rsidRPr="009E1004">
              <w:t xml:space="preserve"> </w:t>
            </w:r>
          </w:p>
          <w:p w:rsidR="00195450" w:rsidRPr="002E03C3" w:rsidRDefault="00B54990" w:rsidP="00971CB7">
            <w:r w:rsidRPr="00BF7048">
              <w:t xml:space="preserve">Kunden kan ikke nekte å akseptere leveransen på grunn av forhold som er uvesentlige for Kundens bruk av leveransen. Det skal fremgå av Teststrategien i bilag 5 hvor mange og hva slags feil som anses som vesentlige ("Sluttkriterier"). Dersom Sluttkriterier ikke er angitt i Teststrategien skal A- og B-feil hver for seg anses som vesentlige, med unntak av B-feil som ikke er vesentlige for Kundens mulighet til å sette programvaren i drift og påbegynne godkjenningsperioden. C-feil anses som uvesentlige, hvis ikke flere </w:t>
            </w:r>
            <w:r w:rsidRPr="00BF7048">
              <w:lastRenderedPageBreak/>
              <w:t>C-feil samlet sett medfører at godkjennelse vil være klart urimelig. Feil som kun har oppstått en gang, og som ikke har latt seg gjenskape i akseptansetestperioden, anses ikke som feil i forhold til godkjenning av testen.</w:t>
            </w:r>
          </w:p>
        </w:tc>
        <w:tc>
          <w:tcPr>
            <w:tcW w:w="709" w:type="dxa"/>
          </w:tcPr>
          <w:p w:rsidR="00195450" w:rsidRDefault="00115E01" w:rsidP="00A9684D">
            <w:pPr>
              <w:rPr>
                <w:b/>
                <w:bCs/>
              </w:rPr>
            </w:pPr>
            <w:r>
              <w:rPr>
                <w:b/>
                <w:bCs/>
              </w:rPr>
              <w:lastRenderedPageBreak/>
              <w:t>2.3.3</w:t>
            </w:r>
          </w:p>
          <w:p w:rsidR="00195450" w:rsidRPr="002E03C3" w:rsidRDefault="00195450" w:rsidP="00A9684D">
            <w:pPr>
              <w:rPr>
                <w:b/>
                <w:bCs/>
              </w:rPr>
            </w:pPr>
          </w:p>
        </w:tc>
        <w:tc>
          <w:tcPr>
            <w:tcW w:w="6275" w:type="dxa"/>
          </w:tcPr>
          <w:p w:rsidR="00B54990" w:rsidRPr="00B54990" w:rsidRDefault="00B54990" w:rsidP="0041061B">
            <w:pPr>
              <w:pStyle w:val="Overskrift3"/>
            </w:pPr>
            <w:r w:rsidRPr="00B54990">
              <w:t xml:space="preserve">Kundens akseptansetest av delleveransen </w:t>
            </w:r>
          </w:p>
          <w:p w:rsidR="00115E01" w:rsidRPr="002E03C3" w:rsidRDefault="00115E01" w:rsidP="00441485">
            <w:r w:rsidRPr="00BF7048">
              <w:t xml:space="preserve">Kunden kan ikke nekte å akseptere leveransen på grunn av forhold som er uvesentlige for Kundens bruk av leveransen. Det skal fremgå av Teststrategien i bilag 5 hvor mange og hva slags feil som anses som vesentlige. Dersom </w:t>
            </w:r>
            <w:r w:rsidR="00441485">
              <w:t xml:space="preserve">det ikke er angitt </w:t>
            </w:r>
            <w:r w:rsidRPr="00BF7048">
              <w:t>Akseptansekr</w:t>
            </w:r>
            <w:r w:rsidR="00441485">
              <w:t>iterier</w:t>
            </w:r>
            <w:r w:rsidRPr="00BF7048">
              <w:t xml:space="preserve"> i Teststrategien skal A- og B-feil hver for seg anses som vesentlige, med unntak av B-feil som ikke er vesentlige for Kundens mulighet til å sette programvaren i drift og påbegynne godkjenningsperioden. C-feil anses som uvesentlige, hvis ikke flere C-feil samlet sett medfører </w:t>
            </w:r>
            <w:r w:rsidRPr="00BF7048">
              <w:lastRenderedPageBreak/>
              <w:t>at godkjennelse vil være klart urimelig. Feil som kun har oppstått en gang, og som ikke har latt seg gjenskape i akseptansetestperioden, anses ikke som feil i forhold til godkjenning av testen.</w:t>
            </w:r>
          </w:p>
        </w:tc>
      </w:tr>
      <w:tr w:rsidR="000D2A52" w:rsidRPr="002E03C3" w:rsidTr="00115E01">
        <w:tc>
          <w:tcPr>
            <w:tcW w:w="960" w:type="dxa"/>
          </w:tcPr>
          <w:p w:rsidR="000D2A52" w:rsidRDefault="000D2A52" w:rsidP="002E03C3">
            <w:pPr>
              <w:rPr>
                <w:b/>
                <w:bCs/>
              </w:rPr>
            </w:pPr>
            <w:r>
              <w:rPr>
                <w:b/>
                <w:bCs/>
              </w:rPr>
              <w:lastRenderedPageBreak/>
              <w:t>2.3.4</w:t>
            </w:r>
          </w:p>
        </w:tc>
        <w:tc>
          <w:tcPr>
            <w:tcW w:w="6198" w:type="dxa"/>
          </w:tcPr>
          <w:p w:rsidR="000D2A52" w:rsidRDefault="000D2A52" w:rsidP="000D2A52">
            <w:pPr>
              <w:pStyle w:val="Overskrift3"/>
            </w:pPr>
            <w:bookmarkStart w:id="5" w:name="_Toc377405340"/>
            <w:bookmarkStart w:id="6" w:name="_Toc384891561"/>
            <w:r w:rsidRPr="00B22FF4">
              <w:t>Stans ved vedvarende feil</w:t>
            </w:r>
            <w:bookmarkEnd w:id="5"/>
            <w:bookmarkEnd w:id="6"/>
          </w:p>
          <w:p w:rsidR="000D2A52" w:rsidRPr="003E156C" w:rsidRDefault="000D2A52" w:rsidP="000D2A52">
            <w:r>
              <w:t>Dersom Akseptansekriteriene ikke er oppfylt etter 3 runder med feilretting og Retesting, skal programvareutviklingen stoppes og alle utviklingsressurser allokeres til feilretting. Feilrettingen skal pågå frem til Akseptansekriteriene er oppfylt. Leverandøren får ikke vederlag for denne feilrettingen. Oppholdet i programvareutviklingen innebærer ikke at det avtalte estimerte tidspunktet for Overlevering av siste Delleveranse (som bl.a. er av betydning for sluttbonus) forskyves.</w:t>
            </w:r>
          </w:p>
        </w:tc>
        <w:tc>
          <w:tcPr>
            <w:tcW w:w="709" w:type="dxa"/>
          </w:tcPr>
          <w:p w:rsidR="000D2A52" w:rsidRDefault="000D2A52" w:rsidP="0040746B">
            <w:pPr>
              <w:rPr>
                <w:b/>
                <w:bCs/>
              </w:rPr>
            </w:pPr>
          </w:p>
        </w:tc>
        <w:tc>
          <w:tcPr>
            <w:tcW w:w="6275" w:type="dxa"/>
          </w:tcPr>
          <w:p w:rsidR="000D2A52" w:rsidRDefault="000D2A52" w:rsidP="000D2A52">
            <w:pPr>
              <w:pStyle w:val="Overskrift3"/>
            </w:pPr>
            <w:r w:rsidRPr="00B22FF4">
              <w:t>Stans ved vedvarende feil</w:t>
            </w:r>
          </w:p>
          <w:p w:rsidR="000D2A52" w:rsidRPr="009B1D79" w:rsidRDefault="000D2A52" w:rsidP="000D2A52">
            <w:r>
              <w:t>Dersom Akseptansekriteriene ikke er oppfylt etter 3 runder med feilretting og Retesting, skal programvareutviklingen stoppes og alle utviklingsressurser allokeres til feilretting. Feilrettingen skal pågå frem til Akseptansekriteriene er oppfylt. Leverandøren får ikke vederlag for denne feilrettingen. Oppholdet i programvareutviklingen innebærer ikke at det avtalte estimerte tidspunktet for Overlevering av siste Delleveranse og Avslutning (som bl.a. er av betydning for sluttbonus) forskyves.</w:t>
            </w:r>
          </w:p>
        </w:tc>
      </w:tr>
      <w:tr w:rsidR="003E156C" w:rsidRPr="002E03C3" w:rsidTr="00115E01">
        <w:tc>
          <w:tcPr>
            <w:tcW w:w="960" w:type="dxa"/>
          </w:tcPr>
          <w:p w:rsidR="003E156C" w:rsidRDefault="003E156C" w:rsidP="002E03C3">
            <w:pPr>
              <w:rPr>
                <w:b/>
                <w:bCs/>
              </w:rPr>
            </w:pPr>
            <w:r>
              <w:rPr>
                <w:b/>
                <w:bCs/>
              </w:rPr>
              <w:t>3.4</w:t>
            </w:r>
          </w:p>
        </w:tc>
        <w:tc>
          <w:tcPr>
            <w:tcW w:w="6198" w:type="dxa"/>
          </w:tcPr>
          <w:p w:rsidR="003E156C" w:rsidRPr="003E156C" w:rsidRDefault="003E156C" w:rsidP="0041061B">
            <w:pPr>
              <w:pStyle w:val="Overskrift3"/>
            </w:pPr>
            <w:bookmarkStart w:id="7" w:name="_Toc150330887"/>
            <w:bookmarkStart w:id="8" w:name="_Toc153682077"/>
            <w:bookmarkStart w:id="9" w:name="_Toc153691191"/>
            <w:bookmarkStart w:id="10" w:name="_Toc384891583"/>
            <w:r w:rsidRPr="003E156C">
              <w:t>Endringsordre</w:t>
            </w:r>
            <w:bookmarkEnd w:id="7"/>
            <w:bookmarkEnd w:id="8"/>
            <w:bookmarkEnd w:id="9"/>
            <w:bookmarkEnd w:id="10"/>
          </w:p>
          <w:p w:rsidR="003E156C" w:rsidRPr="009B1D79" w:rsidRDefault="003E156C" w:rsidP="003E156C">
            <w:r w:rsidRPr="009B1D79">
              <w:t>Hvis Kunden aksepterer Leverandørens utredning</w:t>
            </w:r>
            <w:r>
              <w:t>, pris og justering av milepæl</w:t>
            </w:r>
            <w:r w:rsidRPr="009B1D79">
              <w:t xml:space="preserve">splan, skal Kunden gi Leverandøren beskjed om at Kunden ønsker endringen utført ved å utstede en endringsordre. Endringsordren skal undertegnes av bemyndiget representant hos Kunden. </w:t>
            </w:r>
            <w:r>
              <w:t>Dersom Kunden ønsker å knytte bonus til gjennomføring av endringen, skal dette fremgå av endringsordren.</w:t>
            </w:r>
          </w:p>
          <w:p w:rsidR="003E156C" w:rsidRPr="00D90D98" w:rsidRDefault="003E156C" w:rsidP="0041061B">
            <w:pPr>
              <w:pStyle w:val="Overskrift2"/>
            </w:pPr>
          </w:p>
        </w:tc>
        <w:tc>
          <w:tcPr>
            <w:tcW w:w="709" w:type="dxa"/>
          </w:tcPr>
          <w:p w:rsidR="003E156C" w:rsidRDefault="003E156C" w:rsidP="0040746B">
            <w:pPr>
              <w:rPr>
                <w:b/>
                <w:bCs/>
              </w:rPr>
            </w:pPr>
          </w:p>
        </w:tc>
        <w:tc>
          <w:tcPr>
            <w:tcW w:w="6275" w:type="dxa"/>
          </w:tcPr>
          <w:p w:rsidR="0041061B" w:rsidRPr="003E156C" w:rsidRDefault="0041061B" w:rsidP="0041061B">
            <w:pPr>
              <w:pStyle w:val="Overskrift3"/>
            </w:pPr>
            <w:r w:rsidRPr="003E156C">
              <w:t>Endringsordre</w:t>
            </w:r>
          </w:p>
          <w:p w:rsidR="003E156C" w:rsidRDefault="003E156C" w:rsidP="00205449">
            <w:r w:rsidRPr="009B1D79">
              <w:t>Hvis Kunden aksepterer Leverandørens utredning</w:t>
            </w:r>
            <w:r>
              <w:t>, pris og justering av milepæl</w:t>
            </w:r>
            <w:r w:rsidRPr="009B1D79">
              <w:t xml:space="preserve">splan, skal Kunden gi Leverandøren beskjed om at Kunden ønsker endringen utført ved å utstede en endringsordre. Endringsordren skal undertegnes av bemyndiget representant hos Kunden. </w:t>
            </w:r>
            <w:r>
              <w:t>Det skal fremgå av endringsordren</w:t>
            </w:r>
            <w:r w:rsidR="00926E91">
              <w:t xml:space="preserve"> hvorvidt </w:t>
            </w:r>
            <w:r>
              <w:t xml:space="preserve">Kunden ønsker endringen gjennomført som en del av den smidige programvareutviklingsprosessen, eller som et tillegg. </w:t>
            </w:r>
          </w:p>
        </w:tc>
      </w:tr>
      <w:tr w:rsidR="00B54990" w:rsidRPr="002E03C3" w:rsidTr="00115E01">
        <w:tc>
          <w:tcPr>
            <w:tcW w:w="960" w:type="dxa"/>
          </w:tcPr>
          <w:p w:rsidR="002E03C3" w:rsidRDefault="00A04A75" w:rsidP="002E03C3">
            <w:pPr>
              <w:rPr>
                <w:b/>
                <w:bCs/>
              </w:rPr>
            </w:pPr>
            <w:r>
              <w:rPr>
                <w:b/>
                <w:bCs/>
              </w:rPr>
              <w:t>6</w:t>
            </w:r>
            <w:r w:rsidR="00115E01">
              <w:rPr>
                <w:b/>
                <w:bCs/>
              </w:rPr>
              <w:t>.2</w:t>
            </w:r>
            <w:r w:rsidR="0040746B">
              <w:rPr>
                <w:b/>
                <w:bCs/>
              </w:rPr>
              <w:t xml:space="preserve"> </w:t>
            </w:r>
          </w:p>
          <w:p w:rsidR="0040746B" w:rsidRPr="002E03C3" w:rsidRDefault="0040746B" w:rsidP="00BF7048">
            <w:pPr>
              <w:rPr>
                <w:b/>
                <w:bCs/>
              </w:rPr>
            </w:pPr>
          </w:p>
        </w:tc>
        <w:tc>
          <w:tcPr>
            <w:tcW w:w="6198" w:type="dxa"/>
          </w:tcPr>
          <w:p w:rsidR="00115E01" w:rsidRDefault="00115E01" w:rsidP="0041061B">
            <w:pPr>
              <w:pStyle w:val="Overskrift3"/>
            </w:pPr>
            <w:bookmarkStart w:id="11" w:name="_Toc377405383"/>
            <w:bookmarkStart w:id="12" w:name="_Toc377548218"/>
            <w:r w:rsidRPr="00D90D98">
              <w:t>Kundens bruk av tredjepart</w:t>
            </w:r>
            <w:bookmarkEnd w:id="11"/>
            <w:bookmarkEnd w:id="12"/>
          </w:p>
          <w:p w:rsidR="00115E01" w:rsidRPr="009B1D79" w:rsidRDefault="00115E01" w:rsidP="00115E01">
            <w:r w:rsidRPr="00BF7048">
              <w:t xml:space="preserve">Kunden kan fritt engasjere tredjepart til å bistå seg i forbindelse med sine oppgaver under Avtalen. Disse angis i bilag 4. Leverandøren skal varsles om Kundens valg av tredjepart og kan motsette seg engasjementet dersom Leverandøren kan påvise at </w:t>
            </w:r>
            <w:r w:rsidRPr="00BF7048">
              <w:lastRenderedPageBreak/>
              <w:t>dette medfører vesentlig forretningsmessig ulempe for Leverandøren.</w:t>
            </w:r>
          </w:p>
          <w:p w:rsidR="00BE038E" w:rsidRPr="002E03C3" w:rsidRDefault="00BE038E" w:rsidP="0040746B"/>
        </w:tc>
        <w:tc>
          <w:tcPr>
            <w:tcW w:w="709" w:type="dxa"/>
          </w:tcPr>
          <w:p w:rsidR="0040746B" w:rsidRDefault="00A04A75" w:rsidP="0040746B">
            <w:pPr>
              <w:rPr>
                <w:b/>
                <w:bCs/>
              </w:rPr>
            </w:pPr>
            <w:r>
              <w:rPr>
                <w:b/>
                <w:bCs/>
              </w:rPr>
              <w:lastRenderedPageBreak/>
              <w:t>6</w:t>
            </w:r>
            <w:r w:rsidR="00115E01">
              <w:rPr>
                <w:b/>
                <w:bCs/>
              </w:rPr>
              <w:t>.2</w:t>
            </w:r>
          </w:p>
          <w:p w:rsidR="0040746B" w:rsidRPr="002E03C3" w:rsidRDefault="0040746B" w:rsidP="0040746B">
            <w:pPr>
              <w:rPr>
                <w:b/>
                <w:bCs/>
              </w:rPr>
            </w:pPr>
          </w:p>
        </w:tc>
        <w:tc>
          <w:tcPr>
            <w:tcW w:w="6275" w:type="dxa"/>
          </w:tcPr>
          <w:p w:rsidR="00115E01" w:rsidRDefault="00BE038E" w:rsidP="0041061B">
            <w:pPr>
              <w:pStyle w:val="Overskrift3"/>
            </w:pPr>
            <w:r>
              <w:t xml:space="preserve"> </w:t>
            </w:r>
            <w:r w:rsidR="00115E01" w:rsidRPr="00D90D98">
              <w:t>Kundens bruk av tredjepart</w:t>
            </w:r>
          </w:p>
          <w:p w:rsidR="00115E01" w:rsidRPr="009B1D79" w:rsidRDefault="00115E01" w:rsidP="00115E01">
            <w:r w:rsidRPr="00D90D98">
              <w:t xml:space="preserve">Kunden kan fritt engasjere tredjepart til å bistå seg i forbindelse med sine oppgaver under </w:t>
            </w:r>
            <w:r>
              <w:t>A</w:t>
            </w:r>
            <w:r w:rsidRPr="00D90D98">
              <w:t xml:space="preserve">vtalen. Leverandøren skal varsles om Kundens valg av tredjepart og kan motsette seg engasjementet dersom Leverandøren kan påvise at dette medfører vesentlig </w:t>
            </w:r>
            <w:r w:rsidRPr="00D90D98">
              <w:lastRenderedPageBreak/>
              <w:t>forretningsmessig ulempe for Leverandøren</w:t>
            </w:r>
            <w:r w:rsidRPr="009B1D79">
              <w:t>.</w:t>
            </w:r>
          </w:p>
          <w:p w:rsidR="002E03C3" w:rsidRPr="002E03C3" w:rsidRDefault="002E03C3" w:rsidP="0040746B"/>
        </w:tc>
      </w:tr>
      <w:tr w:rsidR="005F219B" w:rsidRPr="002E03C3" w:rsidTr="00115E01">
        <w:tc>
          <w:tcPr>
            <w:tcW w:w="960" w:type="dxa"/>
          </w:tcPr>
          <w:p w:rsidR="005F219B" w:rsidRDefault="005F219B" w:rsidP="002E03C3">
            <w:pPr>
              <w:rPr>
                <w:b/>
                <w:bCs/>
              </w:rPr>
            </w:pPr>
            <w:r>
              <w:rPr>
                <w:b/>
                <w:bCs/>
              </w:rPr>
              <w:lastRenderedPageBreak/>
              <w:t>16.3</w:t>
            </w:r>
          </w:p>
        </w:tc>
        <w:tc>
          <w:tcPr>
            <w:tcW w:w="6198" w:type="dxa"/>
          </w:tcPr>
          <w:p w:rsidR="00FF1F1E" w:rsidRPr="00FF1F1E" w:rsidRDefault="00FF1F1E" w:rsidP="0041061B">
            <w:pPr>
              <w:pStyle w:val="Overskrift3"/>
            </w:pPr>
            <w:r w:rsidRPr="00FF1F1E">
              <w:t>Uavhen</w:t>
            </w:r>
            <w:r>
              <w:t>gi</w:t>
            </w:r>
            <w:r w:rsidRPr="00FF1F1E">
              <w:t>g ekspert</w:t>
            </w:r>
          </w:p>
          <w:p w:rsidR="005F219B" w:rsidRPr="00FF1F1E" w:rsidRDefault="00FF1F1E" w:rsidP="00FF1F1E">
            <w:pPr>
              <w:rPr>
                <w:i/>
              </w:rPr>
            </w:pPr>
            <w:r w:rsidRPr="00163CE6">
              <w:t xml:space="preserve">Partene skal i forbindelse med inngåelsen av avtalen oppnevne en uavhengig ekspert som </w:t>
            </w:r>
            <w:r w:rsidRPr="00BF7048">
              <w:t xml:space="preserve">angis i bilag </w:t>
            </w:r>
            <w:r w:rsidR="00AB336B" w:rsidRPr="00BF7048">
              <w:t>6</w:t>
            </w:r>
            <w:r w:rsidRPr="00BF7048">
              <w:t>, med</w:t>
            </w:r>
            <w:r w:rsidRPr="00163CE6">
              <w:t xml:space="preserve"> den kompetansen partene mener passer best i forhold til avtalen. Hvis dette ikke er gjort, kan partene bli enige om oppnevningen av en uavhengig ekspert på tvistetidspunktet. </w:t>
            </w:r>
          </w:p>
        </w:tc>
        <w:tc>
          <w:tcPr>
            <w:tcW w:w="709" w:type="dxa"/>
          </w:tcPr>
          <w:p w:rsidR="005F219B" w:rsidRDefault="005F219B" w:rsidP="0040746B">
            <w:pPr>
              <w:rPr>
                <w:b/>
                <w:bCs/>
              </w:rPr>
            </w:pPr>
          </w:p>
        </w:tc>
        <w:tc>
          <w:tcPr>
            <w:tcW w:w="6275" w:type="dxa"/>
          </w:tcPr>
          <w:p w:rsidR="00FF1F1E" w:rsidRPr="00FF1F1E" w:rsidRDefault="00FF1F1E" w:rsidP="0041061B">
            <w:pPr>
              <w:pStyle w:val="Overskrift3"/>
            </w:pPr>
            <w:r w:rsidRPr="00FF1F1E">
              <w:t>Uavhen</w:t>
            </w:r>
            <w:r>
              <w:t>gi</w:t>
            </w:r>
            <w:r w:rsidRPr="00FF1F1E">
              <w:t>g ekspert</w:t>
            </w:r>
          </w:p>
          <w:p w:rsidR="005F219B" w:rsidRDefault="00FF1F1E" w:rsidP="00FF1F1E">
            <w:r w:rsidRPr="00163CE6">
              <w:t xml:space="preserve">Partene skal i forbindelse med inngåelsen av avtalen oppnevne en uavhengig ekspert som angis </w:t>
            </w:r>
            <w:r w:rsidRPr="00BF7048">
              <w:t>i bilag</w:t>
            </w:r>
            <w:r w:rsidR="00AB336B" w:rsidRPr="00BF7048">
              <w:t xml:space="preserve"> 4</w:t>
            </w:r>
            <w:r w:rsidRPr="00BF7048">
              <w:t>,</w:t>
            </w:r>
            <w:r w:rsidRPr="00163CE6">
              <w:t xml:space="preserve"> med den kompetansen partene mener passer best i forhold til avtalen. Hvis dette ikke er gjort, kan partene bli enige om oppnevningen av en uavhengig ekspert på tvistetidspunktet. </w:t>
            </w:r>
          </w:p>
        </w:tc>
      </w:tr>
      <w:tr w:rsidR="00FF1F1E" w:rsidRPr="002E03C3" w:rsidTr="00115E01">
        <w:tc>
          <w:tcPr>
            <w:tcW w:w="960" w:type="dxa"/>
          </w:tcPr>
          <w:p w:rsidR="00FF1F1E" w:rsidRDefault="00FF1F1E" w:rsidP="002E03C3">
            <w:pPr>
              <w:rPr>
                <w:b/>
                <w:bCs/>
              </w:rPr>
            </w:pPr>
            <w:r>
              <w:rPr>
                <w:b/>
                <w:bCs/>
              </w:rPr>
              <w:t>17.</w:t>
            </w:r>
          </w:p>
        </w:tc>
        <w:tc>
          <w:tcPr>
            <w:tcW w:w="6198" w:type="dxa"/>
          </w:tcPr>
          <w:p w:rsidR="00FF1F1E" w:rsidRDefault="001A6534" w:rsidP="002A6B33">
            <w:pPr>
              <w:autoSpaceDE w:val="0"/>
              <w:autoSpaceDN w:val="0"/>
              <w:adjustRightInd w:val="0"/>
              <w:spacing w:after="0" w:line="240" w:lineRule="auto"/>
            </w:pPr>
            <w:r>
              <w:t>Exit</w:t>
            </w:r>
          </w:p>
          <w:p w:rsidR="00C05102" w:rsidRDefault="00C05102" w:rsidP="00C05102">
            <w:pPr>
              <w:autoSpaceDE w:val="0"/>
              <w:autoSpaceDN w:val="0"/>
              <w:adjustRightInd w:val="0"/>
              <w:spacing w:after="0" w:line="240" w:lineRule="auto"/>
            </w:pPr>
            <w:r>
              <w:t>Avslutning av avtalen uten vederlag</w:t>
            </w:r>
          </w:p>
          <w:p w:rsidR="001A6534" w:rsidRPr="0001536A" w:rsidRDefault="001A6534" w:rsidP="002A6B33">
            <w:pPr>
              <w:autoSpaceDE w:val="0"/>
              <w:autoSpaceDN w:val="0"/>
              <w:adjustRightInd w:val="0"/>
              <w:spacing w:after="0" w:line="240" w:lineRule="auto"/>
            </w:pPr>
          </w:p>
        </w:tc>
        <w:tc>
          <w:tcPr>
            <w:tcW w:w="709" w:type="dxa"/>
          </w:tcPr>
          <w:p w:rsidR="00FF1F1E" w:rsidRPr="002E03C3" w:rsidRDefault="00FF1F1E" w:rsidP="002B71FE">
            <w:pPr>
              <w:rPr>
                <w:b/>
                <w:bCs/>
              </w:rPr>
            </w:pPr>
          </w:p>
        </w:tc>
        <w:tc>
          <w:tcPr>
            <w:tcW w:w="6275" w:type="dxa"/>
          </w:tcPr>
          <w:p w:rsidR="00324B26" w:rsidRDefault="001A6534" w:rsidP="001A6534">
            <w:pPr>
              <w:autoSpaceDE w:val="0"/>
              <w:autoSpaceDN w:val="0"/>
              <w:adjustRightInd w:val="0"/>
              <w:spacing w:after="0" w:line="240" w:lineRule="auto"/>
            </w:pPr>
            <w:r>
              <w:t>Exit</w:t>
            </w:r>
          </w:p>
          <w:p w:rsidR="001A6534" w:rsidRDefault="00C05102" w:rsidP="001A6534">
            <w:pPr>
              <w:rPr>
                <w:iCs/>
              </w:rPr>
            </w:pPr>
            <w:r>
              <w:t xml:space="preserve">Avslutning av avtalen </w:t>
            </w:r>
            <w:r w:rsidRPr="00BF7048">
              <w:t>før akseptansetest av første delleveranse, etter initiativ fra én av partene.</w:t>
            </w:r>
          </w:p>
        </w:tc>
      </w:tr>
    </w:tbl>
    <w:p w:rsidR="00356161" w:rsidRDefault="00356161"/>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4D" w:rsidRDefault="00A9684D" w:rsidP="002A4AC5">
      <w:pPr>
        <w:spacing w:after="0" w:line="240" w:lineRule="auto"/>
      </w:pPr>
      <w:r>
        <w:separator/>
      </w:r>
    </w:p>
  </w:endnote>
  <w:endnote w:type="continuationSeparator" w:id="0">
    <w:p w:rsidR="00A9684D" w:rsidRDefault="00A9684D"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4D" w:rsidRDefault="00A9684D" w:rsidP="00666BCB">
    <w:pPr>
      <w:pStyle w:val="Bunntekst"/>
    </w:pPr>
    <w:r>
      <w:rPr>
        <w:sz w:val="20"/>
      </w:rPr>
      <w:t xml:space="preserve">SSA-S </w:t>
    </w:r>
    <w:proofErr w:type="spellStart"/>
    <w:r>
      <w:rPr>
        <w:sz w:val="20"/>
      </w:rPr>
      <w:t>Endringstabel</w:t>
    </w:r>
    <w:proofErr w:type="spellEnd"/>
    <w:r w:rsidR="0041061B">
      <w:rPr>
        <w:sz w:val="20"/>
      </w:rPr>
      <w:t xml:space="preserve"> </w:t>
    </w:r>
    <w:proofErr w:type="gramStart"/>
    <w:r w:rsidR="0041061B">
      <w:rPr>
        <w:sz w:val="20"/>
      </w:rPr>
      <w:t>14.04.</w:t>
    </w:r>
    <w:r>
      <w:rPr>
        <w:sz w:val="20"/>
      </w:rPr>
      <w:t>2014</w:t>
    </w:r>
    <w:proofErr w:type="gramEnd"/>
    <w:r>
      <w:rPr>
        <w:sz w:val="20"/>
      </w:rPr>
      <w:t xml:space="preserve"> </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061579">
              <w:rPr>
                <w:b/>
                <w:bCs/>
                <w:noProof/>
              </w:rPr>
              <w:t>1</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061579">
              <w:rPr>
                <w:b/>
                <w:bCs/>
                <w:noProof/>
              </w:rPr>
              <w:t>4</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4D" w:rsidRDefault="00A9684D" w:rsidP="002A4AC5">
      <w:pPr>
        <w:spacing w:after="0" w:line="240" w:lineRule="auto"/>
      </w:pPr>
      <w:r>
        <w:separator/>
      </w:r>
    </w:p>
  </w:footnote>
  <w:footnote w:type="continuationSeparator" w:id="0">
    <w:p w:rsidR="00A9684D" w:rsidRDefault="00A9684D"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6">
    <w:nsid w:val="2144674D"/>
    <w:multiLevelType w:val="singleLevel"/>
    <w:tmpl w:val="FD5A3316"/>
    <w:lvl w:ilvl="0">
      <w:numFmt w:val="bullet"/>
      <w:lvlText w:val="-"/>
      <w:lvlJc w:val="left"/>
      <w:pPr>
        <w:tabs>
          <w:tab w:val="num" w:pos="1069"/>
        </w:tabs>
        <w:ind w:left="1069" w:hanging="360"/>
      </w:pPr>
      <w:rPr>
        <w:rFonts w:hint="default"/>
      </w:rPr>
    </w:lvl>
  </w:abstractNum>
  <w:abstractNum w:abstractNumId="7">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8">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2">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5">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6">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7">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8">
    <w:nsid w:val="4BBA63F1"/>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69D43A02"/>
    <w:multiLevelType w:val="hybridMultilevel"/>
    <w:tmpl w:val="AD4CD41A"/>
    <w:lvl w:ilvl="0" w:tplc="B718BB1C">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3">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0"/>
  </w:num>
  <w:num w:numId="2">
    <w:abstractNumId w:val="0"/>
  </w:num>
  <w:num w:numId="3">
    <w:abstractNumId w:val="8"/>
  </w:num>
  <w:num w:numId="4">
    <w:abstractNumId w:val="16"/>
  </w:num>
  <w:num w:numId="5">
    <w:abstractNumId w:val="8"/>
    <w:lvlOverride w:ilvl="0">
      <w:startOverride w:val="1"/>
    </w:lvlOverride>
  </w:num>
  <w:num w:numId="6">
    <w:abstractNumId w:val="4"/>
  </w:num>
  <w:num w:numId="7">
    <w:abstractNumId w:val="15"/>
  </w:num>
  <w:num w:numId="8">
    <w:abstractNumId w:val="23"/>
  </w:num>
  <w:num w:numId="9">
    <w:abstractNumId w:val="17"/>
  </w:num>
  <w:num w:numId="10">
    <w:abstractNumId w:val="11"/>
  </w:num>
  <w:num w:numId="11">
    <w:abstractNumId w:val="6"/>
  </w:num>
  <w:num w:numId="12">
    <w:abstractNumId w:val="22"/>
  </w:num>
  <w:num w:numId="13">
    <w:abstractNumId w:val="7"/>
  </w:num>
  <w:num w:numId="14">
    <w:abstractNumId w:val="0"/>
    <w:lvlOverride w:ilvl="0">
      <w:startOverride w:val="7"/>
    </w:lvlOverride>
    <w:lvlOverride w:ilvl="1">
      <w:startOverride w:val="3"/>
    </w:lvlOverride>
    <w:lvlOverride w:ilvl="2">
      <w:startOverride w:val="2"/>
    </w:lvlOverride>
  </w:num>
  <w:num w:numId="15">
    <w:abstractNumId w:val="9"/>
  </w:num>
  <w:num w:numId="16">
    <w:abstractNumId w:val="21"/>
  </w:num>
  <w:num w:numId="17">
    <w:abstractNumId w:val="10"/>
  </w:num>
  <w:num w:numId="18">
    <w:abstractNumId w:val="12"/>
  </w:num>
  <w:num w:numId="19">
    <w:abstractNumId w:val="2"/>
  </w:num>
  <w:num w:numId="20">
    <w:abstractNumId w:val="1"/>
  </w:num>
  <w:num w:numId="21">
    <w:abstractNumId w:val="5"/>
  </w:num>
  <w:num w:numId="22">
    <w:abstractNumId w:val="13"/>
  </w:num>
  <w:num w:numId="23">
    <w:abstractNumId w:val="19"/>
  </w:num>
  <w:num w:numId="24">
    <w:abstractNumId w:val="3"/>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2E03C3"/>
    <w:rsid w:val="0001536A"/>
    <w:rsid w:val="0001797A"/>
    <w:rsid w:val="00036565"/>
    <w:rsid w:val="00061579"/>
    <w:rsid w:val="00062D43"/>
    <w:rsid w:val="00097713"/>
    <w:rsid w:val="000D2A52"/>
    <w:rsid w:val="000D57E1"/>
    <w:rsid w:val="00115E01"/>
    <w:rsid w:val="001551C3"/>
    <w:rsid w:val="001576CC"/>
    <w:rsid w:val="00195450"/>
    <w:rsid w:val="001A16F7"/>
    <w:rsid w:val="001A6534"/>
    <w:rsid w:val="00205449"/>
    <w:rsid w:val="002A4AC5"/>
    <w:rsid w:val="002A6B33"/>
    <w:rsid w:val="002B71FE"/>
    <w:rsid w:val="002E03C3"/>
    <w:rsid w:val="00324B26"/>
    <w:rsid w:val="00340592"/>
    <w:rsid w:val="00356161"/>
    <w:rsid w:val="003C368F"/>
    <w:rsid w:val="003E156C"/>
    <w:rsid w:val="0040746B"/>
    <w:rsid w:val="0041061B"/>
    <w:rsid w:val="00441485"/>
    <w:rsid w:val="00453650"/>
    <w:rsid w:val="004A14E8"/>
    <w:rsid w:val="004C2002"/>
    <w:rsid w:val="004D6D58"/>
    <w:rsid w:val="0051510E"/>
    <w:rsid w:val="005457F0"/>
    <w:rsid w:val="005F219B"/>
    <w:rsid w:val="00666BCB"/>
    <w:rsid w:val="006D15F7"/>
    <w:rsid w:val="006F0416"/>
    <w:rsid w:val="0073362F"/>
    <w:rsid w:val="00775744"/>
    <w:rsid w:val="007B461F"/>
    <w:rsid w:val="00894B9C"/>
    <w:rsid w:val="00896202"/>
    <w:rsid w:val="008C11C3"/>
    <w:rsid w:val="008C74EA"/>
    <w:rsid w:val="008F1775"/>
    <w:rsid w:val="00912812"/>
    <w:rsid w:val="00926E91"/>
    <w:rsid w:val="00936060"/>
    <w:rsid w:val="00944F4A"/>
    <w:rsid w:val="00971CB7"/>
    <w:rsid w:val="009E1004"/>
    <w:rsid w:val="00A0176A"/>
    <w:rsid w:val="00A04A75"/>
    <w:rsid w:val="00A06EAF"/>
    <w:rsid w:val="00A116FD"/>
    <w:rsid w:val="00A4444B"/>
    <w:rsid w:val="00A9684D"/>
    <w:rsid w:val="00AB336B"/>
    <w:rsid w:val="00B15A80"/>
    <w:rsid w:val="00B54990"/>
    <w:rsid w:val="00B645D3"/>
    <w:rsid w:val="00B947ED"/>
    <w:rsid w:val="00BE038E"/>
    <w:rsid w:val="00BF455D"/>
    <w:rsid w:val="00BF7048"/>
    <w:rsid w:val="00C05102"/>
    <w:rsid w:val="00C46628"/>
    <w:rsid w:val="00C974A0"/>
    <w:rsid w:val="00CA00D6"/>
    <w:rsid w:val="00CB0A43"/>
    <w:rsid w:val="00CC4FD2"/>
    <w:rsid w:val="00D05265"/>
    <w:rsid w:val="00D36DF7"/>
    <w:rsid w:val="00D45A96"/>
    <w:rsid w:val="00D575FD"/>
    <w:rsid w:val="00DE5197"/>
    <w:rsid w:val="00DF49C7"/>
    <w:rsid w:val="00E7239E"/>
    <w:rsid w:val="00EF12BF"/>
    <w:rsid w:val="00F37086"/>
    <w:rsid w:val="00F55146"/>
    <w:rsid w:val="00FA3F76"/>
    <w:rsid w:val="00FB4865"/>
    <w:rsid w:val="00FD50BF"/>
    <w:rsid w:val="00FF1F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41061B"/>
    <w:pPr>
      <w:keepNext/>
      <w:spacing w:after="0" w:line="240" w:lineRule="auto"/>
      <w:outlineLvl w:val="1"/>
    </w:pPr>
    <w:rPr>
      <w:b/>
      <w:i/>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41061B"/>
    <w:rPr>
      <w:b/>
      <w:i/>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 w:type="paragraph" w:styleId="Listeavsnitt">
    <w:name w:val="List Paragraph"/>
    <w:basedOn w:val="Normal"/>
    <w:uiPriority w:val="34"/>
    <w:qFormat/>
    <w:rsid w:val="00A9684D"/>
    <w:pPr>
      <w:ind w:left="720"/>
      <w:contextualSpacing/>
    </w:pPr>
  </w:style>
  <w:style w:type="paragraph" w:customStyle="1" w:styleId="Nummerertlisteinnrykk">
    <w:name w:val="Nummerert liste innrykk"/>
    <w:basedOn w:val="Normal"/>
    <w:rsid w:val="004D6D58"/>
    <w:pPr>
      <w:keepLines/>
      <w:widowControl w:val="0"/>
      <w:numPr>
        <w:numId w:val="26"/>
      </w:numPr>
      <w:spacing w:after="0" w:line="240" w:lineRule="auto"/>
    </w:pPr>
    <w:rPr>
      <w:rFonts w:ascii="Arial" w:eastAsia="Times New Roman" w:hAnsi="Arial" w:cs="Times New Roman"/>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3019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F918F-6077-4245-AEDB-2A261608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6495</Characters>
  <Application>Microsoft Office Word</Application>
  <DocSecurity>4</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Engesæth, Vibeke</cp:lastModifiedBy>
  <cp:revision>2</cp:revision>
  <cp:lastPrinted>2014-04-14T09:00:00Z</cp:lastPrinted>
  <dcterms:created xsi:type="dcterms:W3CDTF">2014-04-14T12:40:00Z</dcterms:created>
  <dcterms:modified xsi:type="dcterms:W3CDTF">2014-04-14T12:40:00Z</dcterms:modified>
</cp:coreProperties>
</file>