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A882" w14:textId="1D40FCE2" w:rsidR="00151ACD" w:rsidRDefault="006B6DC4" w:rsidP="00371BFE"/>
    <w:p w14:paraId="61323674" w14:textId="1D8A87A9" w:rsidR="00371BFE" w:rsidRDefault="00371BFE" w:rsidP="00371BFE">
      <w:r>
        <w:t xml:space="preserve">Dette er </w:t>
      </w:r>
      <w:proofErr w:type="spellStart"/>
      <w:r>
        <w:t>Difis</w:t>
      </w:r>
      <w:proofErr w:type="spellEnd"/>
      <w:r>
        <w:t xml:space="preserve"> endringslogg for </w:t>
      </w:r>
      <w:r w:rsidR="008F4059">
        <w:t>SSA-T</w:t>
      </w:r>
      <w:r>
        <w:t>. Den inneholder endringer som er gjort fra 2015 versjonen til 2018 versjonen, samt løpende justeringer og presiseringer.</w:t>
      </w:r>
    </w:p>
    <w:p w14:paraId="7951D4AD" w14:textId="5358F120" w:rsidR="00630DFE" w:rsidRDefault="00630DFE" w:rsidP="00371BFE"/>
    <w:tbl>
      <w:tblPr>
        <w:tblStyle w:val="Tabellrutenett"/>
        <w:tblW w:w="9744" w:type="dxa"/>
        <w:tblInd w:w="-318" w:type="dxa"/>
        <w:tblLook w:val="04A0" w:firstRow="1" w:lastRow="0" w:firstColumn="1" w:lastColumn="0" w:noHBand="0" w:noVBand="1"/>
      </w:tblPr>
      <w:tblGrid>
        <w:gridCol w:w="4821"/>
        <w:gridCol w:w="4923"/>
      </w:tblGrid>
      <w:tr w:rsidR="00630DFE" w14:paraId="0C7AF39A" w14:textId="77777777" w:rsidTr="001A3ECB">
        <w:trPr>
          <w:trHeight w:val="794"/>
        </w:trPr>
        <w:tc>
          <w:tcPr>
            <w:tcW w:w="4821" w:type="dxa"/>
            <w:shd w:val="clear" w:color="auto" w:fill="B4C6E7" w:themeFill="accent1" w:themeFillTint="66"/>
          </w:tcPr>
          <w:p w14:paraId="7A68445A" w14:textId="4D4E89D0" w:rsidR="00CB7EC9" w:rsidRDefault="008F4059" w:rsidP="00630DFE">
            <w:pPr>
              <w:rPr>
                <w:b/>
              </w:rPr>
            </w:pPr>
            <w:r>
              <w:rPr>
                <w:b/>
              </w:rPr>
              <w:t>SSA-T</w:t>
            </w:r>
            <w:r w:rsidR="00630DFE">
              <w:rPr>
                <w:b/>
              </w:rPr>
              <w:t xml:space="preserve"> 2015 </w:t>
            </w:r>
          </w:p>
          <w:p w14:paraId="57684D9F" w14:textId="43359A2B" w:rsidR="00630DFE" w:rsidRDefault="00630DFE" w:rsidP="00630DFE">
            <w:pPr>
              <w:rPr>
                <w:b/>
              </w:rPr>
            </w:pPr>
            <w:r>
              <w:rPr>
                <w:b/>
              </w:rPr>
              <w:t>Punkt/overskr</w:t>
            </w:r>
            <w:r w:rsidR="005A4DAA">
              <w:rPr>
                <w:b/>
              </w:rPr>
              <w:t>ift</w:t>
            </w:r>
          </w:p>
          <w:p w14:paraId="5BAE2CC1" w14:textId="77777777" w:rsidR="00630DFE" w:rsidRPr="00E627C5" w:rsidRDefault="00630DFE" w:rsidP="001B0399">
            <w:pPr>
              <w:rPr>
                <w:b/>
              </w:rPr>
            </w:pPr>
          </w:p>
        </w:tc>
        <w:tc>
          <w:tcPr>
            <w:tcW w:w="4923" w:type="dxa"/>
            <w:shd w:val="clear" w:color="auto" w:fill="B4C6E7" w:themeFill="accent1" w:themeFillTint="66"/>
          </w:tcPr>
          <w:p w14:paraId="3164FA9D" w14:textId="68337CC0" w:rsidR="00CB7EC9" w:rsidRDefault="008F4059" w:rsidP="001B0399">
            <w:pPr>
              <w:rPr>
                <w:b/>
              </w:rPr>
            </w:pPr>
            <w:r>
              <w:rPr>
                <w:b/>
              </w:rPr>
              <w:t>SSA-T</w:t>
            </w:r>
            <w:r w:rsidR="00630DFE">
              <w:rPr>
                <w:b/>
              </w:rPr>
              <w:t xml:space="preserve"> 2018 </w:t>
            </w:r>
          </w:p>
          <w:p w14:paraId="14794C90" w14:textId="0D131DA5" w:rsidR="00630DFE" w:rsidRPr="00E627C5" w:rsidRDefault="00630DFE" w:rsidP="001B0399">
            <w:pPr>
              <w:rPr>
                <w:b/>
              </w:rPr>
            </w:pPr>
            <w:r>
              <w:rPr>
                <w:b/>
              </w:rPr>
              <w:t>Punkt/Overskrift</w:t>
            </w:r>
          </w:p>
        </w:tc>
      </w:tr>
      <w:tr w:rsidR="00C42117" w14:paraId="6FAE9D77" w14:textId="77777777" w:rsidTr="001A3ECB">
        <w:trPr>
          <w:trHeight w:val="2976"/>
        </w:trPr>
        <w:tc>
          <w:tcPr>
            <w:tcW w:w="4821" w:type="dxa"/>
          </w:tcPr>
          <w:p w14:paraId="7804587D" w14:textId="3AB12E22" w:rsidR="00C42117" w:rsidRDefault="00DF7332" w:rsidP="00626413">
            <w:pPr>
              <w:pStyle w:val="Listeavsnitt"/>
              <w:numPr>
                <w:ilvl w:val="1"/>
                <w:numId w:val="3"/>
              </w:numPr>
              <w:rPr>
                <w:b/>
              </w:rPr>
            </w:pPr>
            <w:r w:rsidRPr="00626413">
              <w:rPr>
                <w:b/>
              </w:rPr>
              <w:t>Alminnelige bestemmelser</w:t>
            </w:r>
          </w:p>
          <w:p w14:paraId="3A43A9EA" w14:textId="51688895" w:rsidR="001347DB" w:rsidRDefault="001347DB" w:rsidP="001347DB">
            <w:pPr>
              <w:rPr>
                <w:b/>
              </w:rPr>
            </w:pPr>
          </w:p>
          <w:p w14:paraId="40E28897" w14:textId="77777777" w:rsidR="001347DB" w:rsidRDefault="001347DB" w:rsidP="001347DB">
            <w:r>
              <w:t xml:space="preserve">Avtalen gjelder levering av programvare som utvikles eller tilpasses for Kunden, samt konfigurering, parametersetting, integrasjonsarbeid og andre tjenester knyttet til tilrettelegging av programvaren for Kunden som beskrevet i bilag 1 og 2 («leveransen»). </w:t>
            </w:r>
          </w:p>
          <w:p w14:paraId="4D9EEB89" w14:textId="77777777" w:rsidR="001347DB" w:rsidRDefault="001347DB" w:rsidP="001347DB"/>
          <w:p w14:paraId="64BEC913" w14:textId="77777777" w:rsidR="001347DB" w:rsidRDefault="001347DB" w:rsidP="001347DB">
            <w:r>
              <w:t>Avtalen gjelder også eventuell leveranse av utstyr, opplæring mv.</w:t>
            </w:r>
          </w:p>
          <w:p w14:paraId="0634C3BC" w14:textId="77777777" w:rsidR="001347DB" w:rsidRDefault="001347DB" w:rsidP="001347DB"/>
          <w:p w14:paraId="3145B101" w14:textId="77777777" w:rsidR="001347DB" w:rsidRDefault="001347DB" w:rsidP="001347DB">
            <w:r>
              <w:t xml:space="preserve">Kunden har på bakgrunn av sine formål og behov fremstilt sine krav i bilag 1 (Kundens kravspesifikasjon), og beskrevet den programvaren og de systemer programvaren skal samvirke med i bilag 3. I bilag 2 (Leverandørens løsningsspesifikasjon) har Leverandøren beskrevet sin løsning basert på Kundens kravspesifikasjon og Leverandørens forutsetninger for leveransen, herunder krav til Kundens </w:t>
            </w:r>
            <w:r w:rsidRPr="005E146A">
              <w:t>driftsmiljø</w:t>
            </w:r>
            <w:r>
              <w:t xml:space="preserve"> som må oppfylles for at Kunden skal kunne utnytte leveransen. Hvis det etter Leverandørens mening er åpenbare feil eller uklarheter i Kundens kravspesifikasjon, skal Leverandøren påpeke dette i bilag 2.</w:t>
            </w:r>
          </w:p>
          <w:p w14:paraId="59A4458F" w14:textId="77777777" w:rsidR="001347DB" w:rsidRDefault="001347DB" w:rsidP="001347DB"/>
          <w:p w14:paraId="0E0D62C2" w14:textId="77777777" w:rsidR="001347DB" w:rsidRDefault="001347DB" w:rsidP="001347DB">
            <w:r>
              <w:t xml:space="preserve">Hvis det er spesifisert i bilag 1 at leveransen skal fungere sammen med Kundens eksisterende </w:t>
            </w:r>
            <w:r w:rsidRPr="005E146A">
              <w:t>tekniske plattfor</w:t>
            </w:r>
            <w:r>
              <w:t>m, skal Kunden beskrive denne i bilag 3. Dersom oppgradering av Kundens tekniske plattform er nødvendig for Kundens utnyttelse av leveransen, skal Leverandøren påpeke dette i bilag 2.</w:t>
            </w:r>
          </w:p>
          <w:p w14:paraId="32925DDB" w14:textId="77777777" w:rsidR="001347DB" w:rsidRDefault="001347DB" w:rsidP="001347DB"/>
          <w:p w14:paraId="342768EF" w14:textId="77777777" w:rsidR="001347DB" w:rsidRDefault="001347DB" w:rsidP="001347DB">
            <w:r>
              <w:t xml:space="preserve">Leverandøren skal i bilag 2 orientere Kunden om sannsynlige konsekvenser som aktuelle tilpasninger vil ha for kompleksitet og pris på fremtidig vedlikehold av standardsystem og tilpasning. </w:t>
            </w:r>
          </w:p>
          <w:p w14:paraId="66F17283" w14:textId="77777777" w:rsidR="001347DB" w:rsidRDefault="001347DB" w:rsidP="001347DB"/>
          <w:p w14:paraId="57C2F5B0" w14:textId="77777777" w:rsidR="001347DB" w:rsidRDefault="001347DB" w:rsidP="001347DB">
            <w:r>
              <w:t xml:space="preserve">Omfanget og gjennomføringen av leveransen er </w:t>
            </w:r>
            <w:r>
              <w:lastRenderedPageBreak/>
              <w:t xml:space="preserve">nærmere beskrevet i bilagene som er inkludert i avtalen. </w:t>
            </w:r>
          </w:p>
          <w:p w14:paraId="6D584291" w14:textId="77777777" w:rsidR="001347DB" w:rsidRDefault="001347DB" w:rsidP="001347DB"/>
          <w:p w14:paraId="6DFEA883" w14:textId="77777777" w:rsidR="001347DB" w:rsidDel="00ED73E9" w:rsidRDefault="001347DB" w:rsidP="001347DB">
            <w:r w:rsidDel="00ED73E9">
              <w:t>Med avtalen menes denne generelle avtaleteksten med bilag.</w:t>
            </w:r>
          </w:p>
          <w:p w14:paraId="324CA1A8" w14:textId="77777777" w:rsidR="001347DB" w:rsidRPr="001347DB" w:rsidRDefault="001347DB" w:rsidP="001347DB">
            <w:pPr>
              <w:rPr>
                <w:b/>
              </w:rPr>
            </w:pPr>
          </w:p>
          <w:p w14:paraId="0F6AE590" w14:textId="65E40799" w:rsidR="00626413" w:rsidRPr="00626413" w:rsidRDefault="00626413" w:rsidP="00287D01">
            <w:pPr>
              <w:pStyle w:val="Listeavsnitt"/>
              <w:ind w:left="390"/>
              <w:rPr>
                <w:b/>
              </w:rPr>
            </w:pPr>
          </w:p>
        </w:tc>
        <w:tc>
          <w:tcPr>
            <w:tcW w:w="4923" w:type="dxa"/>
          </w:tcPr>
          <w:p w14:paraId="5EA431B1" w14:textId="03923935" w:rsidR="0099456B" w:rsidRDefault="0099456B" w:rsidP="0099456B">
            <w:pPr>
              <w:pStyle w:val="Listeavsnitt"/>
              <w:numPr>
                <w:ilvl w:val="1"/>
                <w:numId w:val="4"/>
              </w:numPr>
              <w:rPr>
                <w:b/>
              </w:rPr>
            </w:pPr>
            <w:r w:rsidRPr="00626413">
              <w:rPr>
                <w:b/>
              </w:rPr>
              <w:lastRenderedPageBreak/>
              <w:t>Alminnelige bestemmelser</w:t>
            </w:r>
          </w:p>
          <w:p w14:paraId="1BA96126" w14:textId="1524FF24" w:rsidR="00D134C7" w:rsidRPr="00D134C7" w:rsidRDefault="00D134C7" w:rsidP="00D134C7">
            <w:pPr>
              <w:rPr>
                <w:b/>
              </w:rPr>
            </w:pPr>
            <w:r>
              <w:rPr>
                <w:b/>
              </w:rPr>
              <w:t>Det er inntatt et nytt avsni</w:t>
            </w:r>
            <w:r w:rsidR="00D23E77">
              <w:rPr>
                <w:b/>
              </w:rPr>
              <w:t xml:space="preserve">tt 6 i punkt 1.1. Avsnittet </w:t>
            </w:r>
            <w:r w:rsidR="008424F0">
              <w:rPr>
                <w:b/>
              </w:rPr>
              <w:t>er fremhevet i kursiv.</w:t>
            </w:r>
          </w:p>
          <w:p w14:paraId="2988669D" w14:textId="2F8361CE" w:rsidR="0099456B" w:rsidRDefault="0099456B" w:rsidP="0099456B">
            <w:pPr>
              <w:rPr>
                <w:b/>
              </w:rPr>
            </w:pPr>
          </w:p>
          <w:p w14:paraId="692E842C" w14:textId="77777777" w:rsidR="001A3ECB" w:rsidRDefault="001A3ECB" w:rsidP="001A3ECB">
            <w:r>
              <w:t xml:space="preserve">Avtalen gjelder levering av programvare som utvikles eller tilpasses for Kunden, samt konfigurering, parametersetting, integrasjonsarbeid og andre tjenester knyttet til tilrettelegging av programvaren for Kunden som beskrevet i bilag 1 og 2 («leveransen»). </w:t>
            </w:r>
          </w:p>
          <w:p w14:paraId="38918119" w14:textId="77777777" w:rsidR="001A3ECB" w:rsidRDefault="001A3ECB" w:rsidP="001A3ECB"/>
          <w:p w14:paraId="41127240" w14:textId="77777777" w:rsidR="001A3ECB" w:rsidRDefault="001A3ECB" w:rsidP="001A3ECB">
            <w:r>
              <w:t>Avtalen gjelder også eventuell leveranse av utstyr, opplæring mv.</w:t>
            </w:r>
          </w:p>
          <w:p w14:paraId="7BB5D6BD" w14:textId="77777777" w:rsidR="001A3ECB" w:rsidRDefault="001A3ECB" w:rsidP="001A3ECB"/>
          <w:p w14:paraId="09FC1A88" w14:textId="77777777" w:rsidR="001A3ECB" w:rsidRDefault="001A3ECB" w:rsidP="001A3ECB">
            <w:r>
              <w:t>Kunden har på bakgrunn av sine formål og behov fremstilt sine krav i bilag 1 (Kundens kravspesifikasjon), og beskrevet den programvaren og de systemer programvaren skal samvirke med i bilag 3. I bilag 2 (Leverandørens løsningsspesifikasjon) har Leverandøren beskrevet sin løsning basert på Kundens kravspesifikasjon og Leverandørens forutsetninger for leveransen, herunder krav til Kundens driftsmiljø som må oppfylles for at Kunden skal kunne utnytte leveransen. Hvis det etter Leverandørens mening er åpenbare feil eller uklarheter i Kundens kravspesifikasjon, skal Leverandøren påpeke dette i bilag 2.</w:t>
            </w:r>
          </w:p>
          <w:p w14:paraId="27928F47" w14:textId="77777777" w:rsidR="001A3ECB" w:rsidRDefault="001A3ECB" w:rsidP="001A3ECB"/>
          <w:p w14:paraId="3C8F4F4A" w14:textId="77777777" w:rsidR="001A3ECB" w:rsidRDefault="001A3ECB" w:rsidP="001A3ECB">
            <w:r>
              <w:t>Hvis det er spesifisert i bilag 1 at leveransen skal fungere sammen med Kundens eksisterende tekniske plattform, skal Kunden beskrive denne i bilag 3. Dersom oppgradering av Kundens tekniske plattform er nødvendig for Kundens utnyttelse av leveransen, skal Leverandøren påpeke dette i bilag 2.</w:t>
            </w:r>
          </w:p>
          <w:p w14:paraId="60E1A212" w14:textId="77777777" w:rsidR="001A3ECB" w:rsidRDefault="001A3ECB" w:rsidP="001A3ECB"/>
          <w:p w14:paraId="4B1384B9" w14:textId="77777777" w:rsidR="001A3ECB" w:rsidRDefault="001A3ECB" w:rsidP="001A3ECB">
            <w:r>
              <w:t xml:space="preserve">Leverandøren skal i bilag 2 orientere Kunden om sannsynlige konsekvenser som aktuelle tilpasninger vil ha for kompleksitet og pris på fremtidig vedlikehold av standardsystem og tilpasning. </w:t>
            </w:r>
          </w:p>
          <w:p w14:paraId="46D79488" w14:textId="77777777" w:rsidR="001A3ECB" w:rsidRDefault="001A3ECB" w:rsidP="001A3ECB"/>
          <w:p w14:paraId="576A11C0" w14:textId="77777777" w:rsidR="001A3ECB" w:rsidRPr="00770B08" w:rsidRDefault="001A3ECB" w:rsidP="001A3ECB">
            <w:pPr>
              <w:rPr>
                <w:i/>
                <w:u w:val="single"/>
              </w:rPr>
            </w:pPr>
            <w:r w:rsidRPr="00770B08">
              <w:rPr>
                <w:i/>
                <w:u w:val="single"/>
              </w:rPr>
              <w:lastRenderedPageBreak/>
              <w:t xml:space="preserve">Leverandøren skal, i bilag 4 beskrive Kundens medvirkning tilstrekkelig detaljert til at Kunden kan forberede seg og stille med angitt kompetanse til angitt tid under avtalens løpetid. </w:t>
            </w:r>
          </w:p>
          <w:p w14:paraId="1B37E59E" w14:textId="77777777" w:rsidR="001A3ECB" w:rsidRDefault="001A3ECB" w:rsidP="001A3ECB"/>
          <w:p w14:paraId="4A70A355" w14:textId="77777777" w:rsidR="001A3ECB" w:rsidRDefault="001A3ECB" w:rsidP="001A3ECB">
            <w:r>
              <w:t xml:space="preserve">Omfanget og gjennomføringen av leveransen er nærmere beskrevet i bilagene som er inkludert i avtalen. </w:t>
            </w:r>
          </w:p>
          <w:p w14:paraId="5E36D1EA" w14:textId="77777777" w:rsidR="001A3ECB" w:rsidRDefault="001A3ECB" w:rsidP="001A3ECB"/>
          <w:p w14:paraId="781FD645" w14:textId="77777777" w:rsidR="001A3ECB" w:rsidDel="00ED73E9" w:rsidRDefault="001A3ECB" w:rsidP="001A3ECB">
            <w:r w:rsidDel="00ED73E9">
              <w:t>Med avtalen menes denne generelle avtaleteksten med bilag.</w:t>
            </w:r>
          </w:p>
          <w:p w14:paraId="5E4BF66C" w14:textId="77777777" w:rsidR="0099456B" w:rsidRPr="0099456B" w:rsidRDefault="0099456B" w:rsidP="0099456B">
            <w:pPr>
              <w:rPr>
                <w:b/>
              </w:rPr>
            </w:pPr>
          </w:p>
          <w:p w14:paraId="12F582FB" w14:textId="77777777" w:rsidR="00C42117" w:rsidRPr="00630DFE" w:rsidRDefault="00C42117" w:rsidP="006417B4">
            <w:pPr>
              <w:rPr>
                <w:b/>
              </w:rPr>
            </w:pPr>
          </w:p>
        </w:tc>
      </w:tr>
      <w:tr w:rsidR="00630DFE" w14:paraId="06599C39" w14:textId="77777777" w:rsidTr="001A3ECB">
        <w:trPr>
          <w:trHeight w:val="2976"/>
        </w:trPr>
        <w:tc>
          <w:tcPr>
            <w:tcW w:w="4821" w:type="dxa"/>
          </w:tcPr>
          <w:p w14:paraId="16AA5959" w14:textId="77777777" w:rsidR="00630DFE" w:rsidRDefault="00630DFE" w:rsidP="001B0399">
            <w:pPr>
              <w:rPr>
                <w:b/>
              </w:rPr>
            </w:pPr>
            <w:r w:rsidRPr="00630DFE">
              <w:rPr>
                <w:b/>
              </w:rPr>
              <w:lastRenderedPageBreak/>
              <w:t xml:space="preserve">Punkt </w:t>
            </w:r>
            <w:r w:rsidR="00BB79A4">
              <w:rPr>
                <w:b/>
              </w:rPr>
              <w:t>9.2 Informasjonssikkerhet</w:t>
            </w:r>
            <w:r w:rsidRPr="00630DFE">
              <w:rPr>
                <w:b/>
              </w:rPr>
              <w:t xml:space="preserve"> </w:t>
            </w:r>
          </w:p>
          <w:p w14:paraId="4B824DCC" w14:textId="77777777" w:rsidR="005A4DAA" w:rsidRDefault="005A4DAA" w:rsidP="001B0399">
            <w:pPr>
              <w:rPr>
                <w:i/>
              </w:rPr>
            </w:pPr>
          </w:p>
          <w:p w14:paraId="263CCF68" w14:textId="60A08A6A" w:rsidR="005A4DAA" w:rsidRPr="00E627C5" w:rsidRDefault="008E785A" w:rsidP="00E33ABD">
            <w:pPr>
              <w:rPr>
                <w:i/>
              </w:rPr>
            </w:pPr>
            <w:r>
              <w:t xml:space="preserve">Leverandøren skal iverksette forholdsmessige tiltak for å ivareta krav til informasjonssikkerhet i forbindelse med gjennomføring av leveransen. </w:t>
            </w:r>
          </w:p>
        </w:tc>
        <w:tc>
          <w:tcPr>
            <w:tcW w:w="4923" w:type="dxa"/>
          </w:tcPr>
          <w:p w14:paraId="5EE6A678" w14:textId="77777777" w:rsidR="006417B4" w:rsidRDefault="006417B4" w:rsidP="006417B4">
            <w:pPr>
              <w:rPr>
                <w:b/>
              </w:rPr>
            </w:pPr>
            <w:r w:rsidRPr="00630DFE">
              <w:rPr>
                <w:b/>
              </w:rPr>
              <w:t xml:space="preserve">Punkt </w:t>
            </w:r>
            <w:r>
              <w:rPr>
                <w:b/>
              </w:rPr>
              <w:t>9.2 Informasjonssikkerhet</w:t>
            </w:r>
            <w:r w:rsidRPr="00630DFE">
              <w:rPr>
                <w:b/>
              </w:rPr>
              <w:t xml:space="preserve"> </w:t>
            </w:r>
          </w:p>
          <w:p w14:paraId="38603BE6" w14:textId="77777777" w:rsidR="006417B4" w:rsidRDefault="006417B4" w:rsidP="001B0399"/>
          <w:p w14:paraId="73B35925" w14:textId="77777777" w:rsidR="009C3F32" w:rsidRDefault="009C3F32" w:rsidP="009C3F32">
            <w:r>
              <w:t>Leverandøren skal iverksette forholdsmessige tiltak for å ivareta krav til informasjonssikkerhet i forbindelse med gjennomføring av tjenesten.</w:t>
            </w:r>
          </w:p>
          <w:p w14:paraId="426FC4FF" w14:textId="77777777" w:rsidR="009C3F32" w:rsidRDefault="009C3F32" w:rsidP="009C3F32">
            <w: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54E53B7C" w14:textId="77777777" w:rsidR="009C3F32" w:rsidRDefault="009C3F32" w:rsidP="009C3F32"/>
          <w:p w14:paraId="7927DD82" w14:textId="77777777" w:rsidR="009C3F32" w:rsidRDefault="009C3F32" w:rsidP="009C3F32">
            <w:r>
              <w:t>Dersom Kunden har nærmere krav til hvorledes informasjonssikkerheten skal ivaretas fra Leverandørens side, skal Kunden angi dette i bilag 1.</w:t>
            </w:r>
          </w:p>
          <w:p w14:paraId="0969BFC9" w14:textId="77777777" w:rsidR="009C3F32" w:rsidRDefault="009C3F32" w:rsidP="009C3F32"/>
          <w:p w14:paraId="38EF49BA" w14:textId="77777777" w:rsidR="009C3F32" w:rsidRDefault="009C3F32" w:rsidP="009C3F32">
            <w:r>
              <w:t>Leverandøren plikter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4EEC37E4" w14:textId="77777777" w:rsidR="009C3F32" w:rsidRDefault="009C3F32" w:rsidP="009C3F32"/>
          <w:p w14:paraId="5728FF11" w14:textId="77777777" w:rsidR="009C3F32" w:rsidRDefault="009C3F32" w:rsidP="009C3F32">
            <w:r>
              <w:t>Dersom Kunden har nærmere krav til hvorledes Leverandøren skal ivareta kravet til atskillelses av data, skal Kunden angi dette i bilag 1.</w:t>
            </w:r>
          </w:p>
          <w:p w14:paraId="5ACE15D4" w14:textId="77777777" w:rsidR="009C3F32" w:rsidRDefault="009C3F32" w:rsidP="009C3F32"/>
          <w:p w14:paraId="2F283A03" w14:textId="77777777" w:rsidR="009C3F32" w:rsidRDefault="009C3F32" w:rsidP="009C3F32">
            <w:r>
              <w:t xml:space="preserve">Leverandøren skal påse at leverandører av tredjepartsleveranser foretar tilstrekkelig og nødvendig sikring av Kundens data. </w:t>
            </w:r>
          </w:p>
          <w:p w14:paraId="35465052" w14:textId="77777777" w:rsidR="009C3F32" w:rsidRDefault="009C3F32" w:rsidP="009C3F32"/>
          <w:p w14:paraId="5D865AE3" w14:textId="7ACAC893" w:rsidR="00630DFE" w:rsidRDefault="009C3F32" w:rsidP="00D23984">
            <w:r>
              <w:t xml:space="preserve">Dersom Kunden har nærmere krav til hvorledes Leverandøren skal påse at leverandør(er) av tredjepartsleveranser foretar tilstrekkelig og nødvendig sikring av Kundens data, skal Kunden </w:t>
            </w:r>
            <w:r>
              <w:lastRenderedPageBreak/>
              <w:t>angi dette i bilag 1.</w:t>
            </w:r>
          </w:p>
        </w:tc>
      </w:tr>
      <w:tr w:rsidR="007A5359" w14:paraId="01BA990B" w14:textId="77777777" w:rsidTr="001A3ECB">
        <w:trPr>
          <w:trHeight w:val="2976"/>
        </w:trPr>
        <w:tc>
          <w:tcPr>
            <w:tcW w:w="4821" w:type="dxa"/>
          </w:tcPr>
          <w:p w14:paraId="4B1E28B5" w14:textId="77777777" w:rsidR="007A5359" w:rsidRDefault="001F7E68" w:rsidP="001B0399">
            <w:pPr>
              <w:rPr>
                <w:b/>
              </w:rPr>
            </w:pPr>
            <w:r>
              <w:rPr>
                <w:b/>
              </w:rPr>
              <w:lastRenderedPageBreak/>
              <w:t>Punkt 9.3 Personopplysninger</w:t>
            </w:r>
          </w:p>
          <w:p w14:paraId="7D0E1ED0" w14:textId="77777777" w:rsidR="00DD0C02" w:rsidRDefault="00DD0C02" w:rsidP="001B0399">
            <w:pPr>
              <w:rPr>
                <w:b/>
              </w:rPr>
            </w:pPr>
          </w:p>
          <w:p w14:paraId="0A5FF012" w14:textId="77777777" w:rsidR="00165C0B" w:rsidRDefault="00165C0B" w:rsidP="00165C0B">
            <w:pPr>
              <w:rPr>
                <w:rFonts w:ascii="Times New Roman" w:hAnsi="Times New Roman" w:cs="Times New Roman"/>
                <w:sz w:val="24"/>
                <w:szCs w:val="24"/>
              </w:rPr>
            </w:pPr>
            <w:r>
              <w:t>Hvis Leverandøren skal behandle personopplysninger på vegne av Kunden i forbindelse med gjennomføring av Leveransen (for eksempel ved konvertering av data), opptrer Leverandøren som databehandler. Som databehandler for Kunden skal Leverandøren behandle personopplysninger slik det fremgår av denne avtalen. Leverandøren kan ikke behandle personopplysningene på annen måte. Partene kan også ha inngått separat databehandleravtale. Ved motstrid går databehandleravtalen foran denne avtalen når det gjelder behandling av personopplysninger.</w:t>
            </w:r>
            <w:r>
              <w:rPr>
                <w:rFonts w:ascii="Times New Roman" w:hAnsi="Times New Roman" w:cs="Times New Roman"/>
                <w:sz w:val="24"/>
                <w:szCs w:val="24"/>
              </w:rPr>
              <w:t xml:space="preserve"> </w:t>
            </w:r>
          </w:p>
          <w:p w14:paraId="1D89ABAC" w14:textId="77777777" w:rsidR="00165C0B" w:rsidRDefault="00165C0B" w:rsidP="00165C0B">
            <w:pPr>
              <w:rPr>
                <w:rFonts w:ascii="Arial" w:hAnsi="Arial" w:cs="Arial"/>
              </w:rPr>
            </w:pPr>
          </w:p>
          <w:p w14:paraId="458BA3C0" w14:textId="77777777" w:rsidR="00165C0B" w:rsidRDefault="00165C0B" w:rsidP="00165C0B">
            <w:r>
              <w:t>Leverandøren skal gjennom planlagte og systematiske tiltak sørge for tilfredsstillende informasjonssikkerhet med hensyn til konfidensialitet, integritet og tilgjengelighet ved behandling av personopplysninger, jf. personopplysningsloven § 13. Leverandøren skal dokumentere informasjonssystemet og sikkerhetstiltakene. Dokumentasjonen skal på forespørsel være tilgjengelig for Kunden og dennes revisorer samt for Datatilsynet og Personvernnemnda.</w:t>
            </w:r>
          </w:p>
          <w:p w14:paraId="1915D46B" w14:textId="77777777" w:rsidR="00165C0B" w:rsidRDefault="00165C0B" w:rsidP="00165C0B"/>
          <w:p w14:paraId="7582D446" w14:textId="77777777" w:rsidR="00165C0B" w:rsidRDefault="00165C0B" w:rsidP="00165C0B">
            <w:r>
              <w:t xml:space="preserve">Nærmere bestemmelser om hvordan personopplysninger skal behandles, herunder relevante sikkerhetstiltak og krav til lagringstid og sletting mv., er angitt i bilag 1 og 2 og/eller i detaljspesifikasjonen eller spesifikasjonen for konverteringsarbeidet. </w:t>
            </w:r>
          </w:p>
          <w:p w14:paraId="3716859B" w14:textId="77777777" w:rsidR="00165C0B" w:rsidRDefault="00165C0B" w:rsidP="00165C0B"/>
          <w:p w14:paraId="76104EAB" w14:textId="77777777" w:rsidR="00165C0B" w:rsidRDefault="00165C0B" w:rsidP="00165C0B">
            <w:r>
              <w:t xml:space="preserve">Leverandøren kan ikke overlate personopplysninger til andre for lagring, bearbeidelse eller sletting uten etter avtale med Kunden. Underleverandører som er godkjent av Kunden, skal fremgå av bilag 6. Leverandøren skal sørge for at eventuelle underleverandører som </w:t>
            </w:r>
            <w:r>
              <w:lastRenderedPageBreak/>
              <w:t>Leverandøren benytter, og som behandler personopplysninger, påtar seg tilsvarende forpliktelser som i dette punkt 9.3.</w:t>
            </w:r>
          </w:p>
          <w:p w14:paraId="6AA6DB46" w14:textId="77777777" w:rsidR="00165C0B" w:rsidRDefault="00165C0B" w:rsidP="00165C0B"/>
          <w:p w14:paraId="1E36EEAA" w14:textId="77777777" w:rsidR="00165C0B" w:rsidRDefault="00165C0B" w:rsidP="00165C0B">
            <w:r>
              <w:t>Personopplysninger skal ikke overføres til land utenfor EØS-området uten at dette er skriftlig avtalt med Kunden på forhånd.</w:t>
            </w:r>
          </w:p>
          <w:p w14:paraId="1E7CF562" w14:textId="5DF73DBA" w:rsidR="0083702F" w:rsidRPr="00630DFE" w:rsidRDefault="0083702F" w:rsidP="001B0399">
            <w:pPr>
              <w:rPr>
                <w:b/>
              </w:rPr>
            </w:pPr>
          </w:p>
        </w:tc>
        <w:tc>
          <w:tcPr>
            <w:tcW w:w="4923" w:type="dxa"/>
          </w:tcPr>
          <w:p w14:paraId="33F24870" w14:textId="77777777" w:rsidR="007A5359" w:rsidRDefault="001F7E68" w:rsidP="006417B4">
            <w:pPr>
              <w:rPr>
                <w:b/>
              </w:rPr>
            </w:pPr>
            <w:r>
              <w:rPr>
                <w:b/>
              </w:rPr>
              <w:lastRenderedPageBreak/>
              <w:t>Punkt 9.3 Personopplysninger</w:t>
            </w:r>
          </w:p>
          <w:p w14:paraId="389EADE2" w14:textId="77777777" w:rsidR="009F6D50" w:rsidRDefault="009F6D50" w:rsidP="006417B4">
            <w:pPr>
              <w:rPr>
                <w:b/>
              </w:rPr>
            </w:pPr>
          </w:p>
          <w:p w14:paraId="3B4C6D34" w14:textId="77777777" w:rsidR="00BC091E" w:rsidRDefault="00BC091E" w:rsidP="00BC091E">
            <w:r>
              <w:t xml:space="preserve">Dersom Leverandøren ved utførelsen av tjenesten skal behandle personopplysninger, skal Leverandøren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7E0631D0" w14:textId="77777777" w:rsidR="00BC091E" w:rsidRDefault="00BC091E" w:rsidP="00BC091E"/>
          <w:p w14:paraId="4EB1F52B" w14:textId="77777777" w:rsidR="00BC091E" w:rsidRDefault="00BC091E" w:rsidP="00BC091E">
            <w:r>
              <w:t>Dersom Kunden har nærmere krav knyttet til Leverandørens informasjonssikkerhetstiltak, skal Kunden angi dette i bilag 1.</w:t>
            </w:r>
          </w:p>
          <w:p w14:paraId="1C174F29" w14:textId="77777777" w:rsidR="00BC091E" w:rsidRDefault="00BC091E" w:rsidP="00BC091E"/>
          <w:p w14:paraId="454497E2" w14:textId="77777777" w:rsidR="00BC091E" w:rsidRDefault="00BC091E" w:rsidP="00BC091E">
            <w:r>
              <w:t xml:space="preserve">Dokumentasjon vedrørende informasjonssystemet og sikkerhetstiltakene er tilfredsstillende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w:t>
            </w:r>
            <w:proofErr w:type="spellStart"/>
            <w:r>
              <w:t>Protection</w:t>
            </w:r>
            <w:proofErr w:type="spellEnd"/>
            <w:r>
              <w:t xml:space="preserve"> </w:t>
            </w:r>
            <w:proofErr w:type="spellStart"/>
            <w:r>
              <w:t>Impact</w:t>
            </w:r>
            <w:proofErr w:type="spellEnd"/>
            <w:r>
              <w:t xml:space="preserve"> </w:t>
            </w:r>
            <w:proofErr w:type="spellStart"/>
            <w:r>
              <w:t>Assessments</w:t>
            </w:r>
            <w:proofErr w:type="spellEnd"/>
            <w:r>
              <w:t>»), skal Leverandøren bistå med å fremskaffe slik informasjon.</w:t>
            </w:r>
          </w:p>
          <w:p w14:paraId="73839795" w14:textId="77777777" w:rsidR="00BC091E" w:rsidRDefault="00BC091E" w:rsidP="00BC091E"/>
          <w:p w14:paraId="1A5B3135" w14:textId="77777777" w:rsidR="00BC091E" w:rsidRDefault="00BC091E" w:rsidP="00BC091E">
            <w: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avtalens punkt 6.2. Dersom det er innhentet særlig eller generell skriftlig tillatelse, skal Leverandøren underrette Kunden om eventuelle planer om å benytte andre databehandlere eller utskifting av databehandlere, og dermed gi Kunden </w:t>
            </w:r>
            <w:r>
              <w:lastRenderedPageBreak/>
              <w:t>muligheten til å motsette seg slike endringer. Underleverandører som er godkjent av Kunden skal fremgå av bilag 6.</w:t>
            </w:r>
          </w:p>
          <w:p w14:paraId="377B7E52" w14:textId="77777777" w:rsidR="00BC091E" w:rsidRDefault="00BC091E" w:rsidP="00BC091E"/>
          <w:p w14:paraId="17A9CEE2" w14:textId="77777777" w:rsidR="00BC091E" w:rsidRDefault="00BC091E" w:rsidP="00BC091E">
            <w:r>
              <w:t>Personopplysninger skal ikke overføres til land utenfor EØS-området uten overføringsgrunnlag og dokumentasjon som påviser at vilkårene for å benytte overføringsgrunnlaget er oppfylt.</w:t>
            </w:r>
            <w:r w:rsidRPr="00A96C62">
              <w:t xml:space="preserve"> Leverandøren skal i et slikt tilfelle</w:t>
            </w:r>
            <w:r>
              <w:t xml:space="preserve"> dokumentere dette i bilag 2</w:t>
            </w:r>
            <w:r w:rsidRPr="00A96C62">
              <w:t>.</w:t>
            </w:r>
          </w:p>
          <w:p w14:paraId="68726554" w14:textId="77777777" w:rsidR="00BC091E" w:rsidRDefault="00BC091E" w:rsidP="00BC091E"/>
          <w:p w14:paraId="07A62E52" w14:textId="77777777" w:rsidR="00BC091E" w:rsidRDefault="00BC091E" w:rsidP="00BC091E">
            <w: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0D4BBB5C" w14:textId="77777777" w:rsidR="00BC091E" w:rsidRDefault="00BC091E" w:rsidP="00BC091E"/>
          <w:p w14:paraId="2D5F7B69" w14:textId="77777777" w:rsidR="00BC091E" w:rsidRPr="00A96C62" w:rsidRDefault="00BC091E" w:rsidP="00BC091E">
            <w:r>
              <w:t>Dersom partene har inngått en databehandleravtale, har databehandleravtalen forrang ved eventuell motstrid med avtalens bestemmelser knyttet til behandling av personopplysninger.</w:t>
            </w:r>
          </w:p>
          <w:p w14:paraId="3ADE6AF9" w14:textId="0C9B4255" w:rsidR="009F6D50" w:rsidRPr="00630DFE" w:rsidRDefault="009F6D50" w:rsidP="009F6D50">
            <w:pPr>
              <w:rPr>
                <w:b/>
              </w:rPr>
            </w:pPr>
          </w:p>
        </w:tc>
      </w:tr>
      <w:tr w:rsidR="00CC69E0" w14:paraId="6A78C8E8" w14:textId="77777777" w:rsidTr="001A3ECB">
        <w:trPr>
          <w:trHeight w:val="2976"/>
        </w:trPr>
        <w:tc>
          <w:tcPr>
            <w:tcW w:w="4821" w:type="dxa"/>
          </w:tcPr>
          <w:p w14:paraId="210ECE45" w14:textId="4B3CC4A7" w:rsidR="00CC69E0" w:rsidRPr="00B815D1" w:rsidRDefault="00CC69E0" w:rsidP="00CC69E0">
            <w:pPr>
              <w:rPr>
                <w:b/>
              </w:rPr>
            </w:pPr>
            <w:r w:rsidRPr="00B815D1">
              <w:rPr>
                <w:b/>
              </w:rPr>
              <w:lastRenderedPageBreak/>
              <w:t>Ny</w:t>
            </w:r>
            <w:r w:rsidR="00B729DE">
              <w:rPr>
                <w:b/>
              </w:rPr>
              <w:t xml:space="preserve"> formulering</w:t>
            </w:r>
            <w:r w:rsidRPr="00B815D1">
              <w:rPr>
                <w:b/>
              </w:rPr>
              <w:t xml:space="preserve">, november 2018. </w:t>
            </w:r>
          </w:p>
          <w:p w14:paraId="500BE470" w14:textId="77777777" w:rsidR="00CC69E0" w:rsidRDefault="00CC69E0" w:rsidP="00CC69E0"/>
          <w:p w14:paraId="55E41052" w14:textId="20C62724" w:rsidR="001D605C" w:rsidRPr="00B77887" w:rsidRDefault="000D33CC" w:rsidP="00CC69E0">
            <w:pPr>
              <w:rPr>
                <w:b/>
              </w:rPr>
            </w:pPr>
            <w:r w:rsidRPr="00B77887">
              <w:rPr>
                <w:b/>
              </w:rPr>
              <w:t xml:space="preserve">Siste avsnitt i punkt </w:t>
            </w:r>
            <w:r w:rsidR="00C42D00" w:rsidRPr="00B77887">
              <w:rPr>
                <w:b/>
              </w:rPr>
              <w:t xml:space="preserve">11.5.6 Erstatningsbegrensning </w:t>
            </w:r>
            <w:r w:rsidR="0083702F">
              <w:rPr>
                <w:b/>
              </w:rPr>
              <w:t>slettes</w:t>
            </w:r>
            <w:r w:rsidR="00C42D00" w:rsidRPr="00B77887">
              <w:rPr>
                <w:b/>
              </w:rPr>
              <w:t xml:space="preserve"> og erstattes med </w:t>
            </w:r>
            <w:r w:rsidR="00B27E0F" w:rsidRPr="00B77887">
              <w:rPr>
                <w:b/>
              </w:rPr>
              <w:t>nytt siste avsnitt til punkt 9.3 Personopplysninger</w:t>
            </w:r>
            <w:r w:rsidR="001D605C" w:rsidRPr="00B77887">
              <w:rPr>
                <w:b/>
              </w:rPr>
              <w:t>.</w:t>
            </w:r>
          </w:p>
          <w:p w14:paraId="71CE9153" w14:textId="77777777" w:rsidR="001D605C" w:rsidRDefault="001D605C" w:rsidP="00CC69E0"/>
          <w:p w14:paraId="44A54446" w14:textId="0B08C932" w:rsidR="001D605C" w:rsidRPr="00193589" w:rsidRDefault="0083702F" w:rsidP="00CC69E0">
            <w:pPr>
              <w:rPr>
                <w:u w:val="single"/>
              </w:rPr>
            </w:pPr>
            <w:r>
              <w:rPr>
                <w:u w:val="single"/>
              </w:rPr>
              <w:t>Slettes</w:t>
            </w:r>
            <w:r w:rsidR="00193589">
              <w:rPr>
                <w:u w:val="single"/>
              </w:rPr>
              <w:t xml:space="preserve"> fra pu</w:t>
            </w:r>
            <w:r w:rsidR="00CF1E98">
              <w:rPr>
                <w:u w:val="single"/>
              </w:rPr>
              <w:t>nkt 11.5.6</w:t>
            </w:r>
            <w:r w:rsidR="001D605C" w:rsidRPr="00193589">
              <w:rPr>
                <w:u w:val="single"/>
              </w:rPr>
              <w:t>:</w:t>
            </w:r>
          </w:p>
          <w:p w14:paraId="080184EE" w14:textId="77777777" w:rsidR="001D605C" w:rsidRPr="00193589" w:rsidRDefault="001D605C" w:rsidP="001D605C">
            <w:pPr>
              <w:rPr>
                <w:i/>
              </w:rPr>
            </w:pPr>
            <w:r w:rsidRPr="00193589">
              <w:rPr>
                <w:i/>
              </w:rPr>
              <w:t xml:space="preserve">Ved brudd på bestemmelser som følger av personopplysningsloven eller personvernforordningen gjelder ikke erstatningsbegrensningene i dette punkt 11.5.6 for så vidt gjelder krav som kan henføres til Leverandørens forhold. Leverandøren skal holde Kunden skadesløs for ethvert krav fra tredjepart, og/eller sanksjon (f.eks. overtredelsesgebyr eller tvangsmulkt) fra offentlig myndighet som relaterer seg til Leverandørens brudd på personvernforordningen. </w:t>
            </w:r>
          </w:p>
          <w:p w14:paraId="45E9BC4C" w14:textId="77777777" w:rsidR="001D605C" w:rsidRDefault="001D605C" w:rsidP="00CC69E0"/>
          <w:p w14:paraId="33715D48" w14:textId="41C914DE" w:rsidR="00CC69E0" w:rsidRDefault="00CC69E0" w:rsidP="00CC69E0">
            <w:pPr>
              <w:rPr>
                <w:b/>
              </w:rPr>
            </w:pPr>
          </w:p>
        </w:tc>
        <w:tc>
          <w:tcPr>
            <w:tcW w:w="4923" w:type="dxa"/>
          </w:tcPr>
          <w:p w14:paraId="2D3EA5EE" w14:textId="32A32E30" w:rsidR="00CC69E0" w:rsidRDefault="00CC69E0" w:rsidP="00CC69E0">
            <w:pPr>
              <w:rPr>
                <w:b/>
              </w:rPr>
            </w:pPr>
            <w:r>
              <w:rPr>
                <w:b/>
              </w:rPr>
              <w:t>Punkt 9.3 Personopplysninger</w:t>
            </w:r>
          </w:p>
          <w:p w14:paraId="392FC313" w14:textId="77777777" w:rsidR="00B77887" w:rsidRDefault="00B77887" w:rsidP="00CC69E0">
            <w:pPr>
              <w:rPr>
                <w:b/>
              </w:rPr>
            </w:pPr>
          </w:p>
          <w:p w14:paraId="6FE680EE" w14:textId="4C005417" w:rsidR="00CC69E0" w:rsidRPr="00B77887" w:rsidRDefault="00CC69E0" w:rsidP="00CC69E0">
            <w:pPr>
              <w:rPr>
                <w:b/>
              </w:rPr>
            </w:pPr>
            <w:r w:rsidRPr="00AF6398">
              <w:t xml:space="preserve"> </w:t>
            </w:r>
            <w:r w:rsidRPr="00B77887">
              <w:rPr>
                <w:b/>
              </w:rPr>
              <w:t>Nytt</w:t>
            </w:r>
            <w:r w:rsidR="00B815D1" w:rsidRPr="00B77887">
              <w:rPr>
                <w:b/>
              </w:rPr>
              <w:t xml:space="preserve"> </w:t>
            </w:r>
            <w:r w:rsidR="00D43B95" w:rsidRPr="00B77887">
              <w:rPr>
                <w:b/>
              </w:rPr>
              <w:t>siste avsnitt til punkt 9.</w:t>
            </w:r>
            <w:r w:rsidR="00B815D1" w:rsidRPr="00B77887">
              <w:rPr>
                <w:b/>
              </w:rPr>
              <w:t>3</w:t>
            </w:r>
            <w:r w:rsidR="008946D3">
              <w:rPr>
                <w:b/>
              </w:rPr>
              <w:t>.</w:t>
            </w:r>
          </w:p>
          <w:p w14:paraId="78ED2C3C" w14:textId="77777777" w:rsidR="00CC69E0" w:rsidRPr="00AF6398" w:rsidRDefault="00CC69E0" w:rsidP="00CC69E0"/>
          <w:p w14:paraId="3DC6EAB7" w14:textId="77777777" w:rsidR="00CC69E0" w:rsidRPr="00AF6398" w:rsidRDefault="00CC69E0" w:rsidP="00CC69E0">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13273E22" w14:textId="641A9902" w:rsidR="00CC69E0" w:rsidRDefault="00CC69E0" w:rsidP="00CC69E0">
            <w:r>
              <w:t xml:space="preserve">Erstatningsbegrensningen i punkt </w:t>
            </w:r>
            <w:r w:rsidR="009005D6">
              <w:t>11.</w:t>
            </w:r>
            <w:r w:rsidR="00790588">
              <w:t>5.6</w:t>
            </w:r>
            <w:r>
              <w:t xml:space="preserve"> kommer ikke til anvendelse for ansvar som følger av personvernforordningen artikkel 82. </w:t>
            </w:r>
          </w:p>
          <w:p w14:paraId="6387550C" w14:textId="77777777" w:rsidR="00CC69E0" w:rsidRDefault="00CC69E0" w:rsidP="00CC69E0"/>
          <w:p w14:paraId="1F1457CB" w14:textId="22303D47" w:rsidR="00CC69E0" w:rsidRDefault="00CC69E0" w:rsidP="00CC69E0">
            <w:pPr>
              <w:rPr>
                <w:b/>
              </w:rPr>
            </w:pPr>
            <w:r>
              <w:t xml:space="preserve">Partene er hver for seg ansvarlige for overtredelsesgebyr ilagt i </w:t>
            </w:r>
            <w:r w:rsidR="00290292">
              <w:t xml:space="preserve">henhold </w:t>
            </w:r>
            <w:proofErr w:type="gramStart"/>
            <w:r w:rsidR="00290292">
              <w:t xml:space="preserve">til </w:t>
            </w:r>
            <w:r>
              <w:t xml:space="preserve"> personvernforordningens</w:t>
            </w:r>
            <w:proofErr w:type="gramEnd"/>
            <w:r>
              <w:t xml:space="preserve"> art. 83.</w:t>
            </w:r>
          </w:p>
        </w:tc>
      </w:tr>
      <w:tr w:rsidR="0039449D" w14:paraId="3A98F4B6" w14:textId="77777777" w:rsidTr="001A3ECB">
        <w:trPr>
          <w:trHeight w:val="2976"/>
        </w:trPr>
        <w:tc>
          <w:tcPr>
            <w:tcW w:w="4821" w:type="dxa"/>
          </w:tcPr>
          <w:p w14:paraId="7142E351" w14:textId="77777777" w:rsidR="0039449D" w:rsidRDefault="0039449D" w:rsidP="00CC69E0">
            <w:pPr>
              <w:rPr>
                <w:b/>
              </w:rPr>
            </w:pPr>
            <w:r>
              <w:rPr>
                <w:b/>
              </w:rPr>
              <w:lastRenderedPageBreak/>
              <w:t>Punkt 8.2 Fakturering</w:t>
            </w:r>
          </w:p>
          <w:p w14:paraId="584F3E5C" w14:textId="77777777" w:rsidR="002A6A4C" w:rsidRDefault="002A6A4C" w:rsidP="00CC69E0">
            <w:pPr>
              <w:rPr>
                <w:b/>
              </w:rPr>
            </w:pPr>
          </w:p>
          <w:p w14:paraId="7318243D" w14:textId="77777777" w:rsidR="002A6A4C" w:rsidRDefault="002A6A4C" w:rsidP="002A6A4C">
            <w: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003329AE" w14:textId="77777777" w:rsidR="002A6A4C" w:rsidRDefault="002A6A4C" w:rsidP="002A6A4C"/>
          <w:p w14:paraId="45D2B2E1" w14:textId="77777777" w:rsidR="002A6A4C" w:rsidRPr="00C91CE0" w:rsidRDefault="002A6A4C" w:rsidP="002A6A4C">
            <w:r w:rsidRPr="00C91CE0">
              <w:t xml:space="preserve">Der Kunden har tilrettelagt for det, skal Leverandøren levere faktura, kreditnotaer og purringer i henhold til det fastsatte formatet Elektronisk </w:t>
            </w:r>
            <w:proofErr w:type="spellStart"/>
            <w:r>
              <w:t>h</w:t>
            </w:r>
            <w:r w:rsidRPr="00C91CE0">
              <w:t>andelsformat</w:t>
            </w:r>
            <w:proofErr w:type="spellEnd"/>
            <w:r w:rsidRPr="00C91CE0">
              <w:t xml:space="preserve"> (EHF). </w:t>
            </w:r>
          </w:p>
          <w:p w14:paraId="3F254432" w14:textId="77777777" w:rsidR="002A6A4C" w:rsidRDefault="002A6A4C" w:rsidP="002A6A4C"/>
          <w:p w14:paraId="13B60DF4" w14:textId="77777777" w:rsidR="002A6A4C" w:rsidRDefault="002A6A4C" w:rsidP="002A6A4C">
            <w:r>
              <w:t>Betalingsplan og øvrige betalingsvilkår</w:t>
            </w:r>
            <w:r w:rsidRPr="00C91CE0">
              <w:t xml:space="preserve"> samt eventuelle vilkår for </w:t>
            </w:r>
            <w:r>
              <w:t>bruk</w:t>
            </w:r>
            <w:r w:rsidRPr="00C91CE0">
              <w:t xml:space="preserve"> av EHF</w:t>
            </w:r>
            <w:r>
              <w:t xml:space="preserve"> </w:t>
            </w:r>
            <w:proofErr w:type="gramStart"/>
            <w:r>
              <w:t>fremgår</w:t>
            </w:r>
            <w:proofErr w:type="gramEnd"/>
            <w:r>
              <w:t xml:space="preserve"> av bilag 7.</w:t>
            </w:r>
          </w:p>
          <w:p w14:paraId="4A4210AC" w14:textId="77777777" w:rsidR="002A6A4C" w:rsidRDefault="002A6A4C" w:rsidP="002A6A4C">
            <w:pPr>
              <w:rPr>
                <w:i/>
                <w:iCs/>
                <w:color w:val="333333"/>
                <w:sz w:val="20"/>
                <w:szCs w:val="20"/>
              </w:rPr>
            </w:pPr>
          </w:p>
          <w:p w14:paraId="638677D0" w14:textId="77777777" w:rsidR="002A6A4C" w:rsidRPr="00C91CE0" w:rsidRDefault="002A6A4C" w:rsidP="002A6A4C">
            <w:r w:rsidRPr="00C91CE0">
              <w:t>Leverandøren må selv bære eventuelle kostnader</w:t>
            </w:r>
            <w:r>
              <w:t xml:space="preserve"> som</w:t>
            </w:r>
            <w:r w:rsidRPr="00C91CE0">
              <w:t xml:space="preserve"> leveranse av elektronisk faktura måtte medføre for denne.</w:t>
            </w:r>
          </w:p>
          <w:p w14:paraId="76D8F1CC" w14:textId="2E178B7E" w:rsidR="002A6A4C" w:rsidRPr="00B815D1" w:rsidRDefault="002A6A4C" w:rsidP="00CC69E0">
            <w:pPr>
              <w:rPr>
                <w:b/>
              </w:rPr>
            </w:pPr>
            <w:bookmarkStart w:id="0" w:name="_GoBack"/>
            <w:bookmarkEnd w:id="0"/>
          </w:p>
        </w:tc>
        <w:tc>
          <w:tcPr>
            <w:tcW w:w="4923" w:type="dxa"/>
          </w:tcPr>
          <w:p w14:paraId="0F6DB084" w14:textId="77777777" w:rsidR="0039449D" w:rsidRDefault="0039449D" w:rsidP="00CC69E0">
            <w:pPr>
              <w:rPr>
                <w:b/>
              </w:rPr>
            </w:pPr>
            <w:r>
              <w:rPr>
                <w:b/>
              </w:rPr>
              <w:t>Punkt 8.2 Fakturering</w:t>
            </w:r>
            <w:r w:rsidR="00325D0B">
              <w:rPr>
                <w:b/>
              </w:rPr>
              <w:t xml:space="preserve"> (oppdatert 08.05.2019)</w:t>
            </w:r>
          </w:p>
          <w:p w14:paraId="3293F19B" w14:textId="77777777" w:rsidR="000F5E5D" w:rsidRDefault="000F5E5D" w:rsidP="00CC69E0">
            <w:pPr>
              <w:rPr>
                <w:b/>
              </w:rPr>
            </w:pPr>
          </w:p>
          <w:p w14:paraId="70A88F76" w14:textId="77777777" w:rsidR="000F5E5D" w:rsidRDefault="000F5E5D" w:rsidP="000F5E5D">
            <w: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0D949F00" w14:textId="77777777" w:rsidR="000F5E5D" w:rsidRDefault="000F5E5D" w:rsidP="000F5E5D"/>
          <w:p w14:paraId="19A483AA" w14:textId="77777777" w:rsidR="000F5E5D" w:rsidRPr="00D850B0" w:rsidRDefault="000F5E5D" w:rsidP="000F5E5D">
            <w:pPr>
              <w:rPr>
                <w:rFonts w:cstheme="minorHAnsi"/>
                <w:i/>
              </w:rPr>
            </w:pPr>
            <w:r w:rsidRPr="00D850B0">
              <w:rPr>
                <w:rFonts w:cstheme="minorHAnsi"/>
                <w:i/>
              </w:rPr>
              <w:t>Det er et krav at leverandøren bruker elektronisk faktura i godkjent standard format i henhold til forskrift av 2. april 2019 om elektronisk faktura i offentlige anskaffelser.</w:t>
            </w:r>
          </w:p>
          <w:p w14:paraId="575BE13B" w14:textId="77777777" w:rsidR="000F5E5D" w:rsidRPr="00D850B0" w:rsidRDefault="000F5E5D" w:rsidP="000F5E5D">
            <w:pPr>
              <w:rPr>
                <w:rFonts w:cstheme="minorHAnsi"/>
                <w:i/>
              </w:rPr>
            </w:pPr>
          </w:p>
          <w:p w14:paraId="7ADC716B" w14:textId="77777777" w:rsidR="000F5E5D" w:rsidRPr="00D850B0" w:rsidRDefault="000F5E5D" w:rsidP="000F5E5D">
            <w:pPr>
              <w:rPr>
                <w:rFonts w:cstheme="minorHAnsi"/>
                <w:i/>
              </w:rPr>
            </w:pPr>
            <w:r w:rsidRPr="00D850B0">
              <w:rPr>
                <w:rFonts w:cstheme="minorHAnsi"/>
                <w:i/>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75F7FFAB" w14:textId="77777777" w:rsidR="000F5E5D" w:rsidRPr="00D850B0" w:rsidRDefault="000F5E5D" w:rsidP="000F5E5D">
            <w:pPr>
              <w:rPr>
                <w:rFonts w:cstheme="minorHAnsi"/>
                <w:i/>
              </w:rPr>
            </w:pPr>
          </w:p>
          <w:p w14:paraId="46182F3E" w14:textId="77777777" w:rsidR="000F5E5D" w:rsidRPr="00D850B0" w:rsidRDefault="000F5E5D" w:rsidP="000F5E5D">
            <w:pPr>
              <w:rPr>
                <w:rFonts w:cstheme="minorHAnsi"/>
                <w:i/>
              </w:rPr>
            </w:pPr>
            <w:r w:rsidRPr="00D850B0">
              <w:rPr>
                <w:rFonts w:cstheme="minorHAnsi"/>
                <w: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28D93B8F" w14:textId="77777777" w:rsidR="000F5E5D" w:rsidRDefault="000F5E5D" w:rsidP="000F5E5D"/>
          <w:p w14:paraId="30CEB537" w14:textId="77777777" w:rsidR="000F5E5D" w:rsidRDefault="000F5E5D" w:rsidP="000F5E5D">
            <w:r>
              <w:t>Betalingsplan og øvrige betalingsvilkår</w:t>
            </w:r>
            <w:r w:rsidRPr="00C91CE0">
              <w:t xml:space="preserve"> </w:t>
            </w:r>
            <w:proofErr w:type="gramStart"/>
            <w:r>
              <w:t>fremgår</w:t>
            </w:r>
            <w:proofErr w:type="gramEnd"/>
            <w:r>
              <w:t xml:space="preserve"> av bilag 7.</w:t>
            </w:r>
          </w:p>
          <w:p w14:paraId="050AD7C6" w14:textId="77777777" w:rsidR="000F5E5D" w:rsidRDefault="000F5E5D" w:rsidP="000F5E5D">
            <w:pPr>
              <w:rPr>
                <w:i/>
                <w:iCs/>
                <w:color w:val="333333"/>
                <w:sz w:val="20"/>
                <w:szCs w:val="20"/>
              </w:rPr>
            </w:pPr>
          </w:p>
          <w:p w14:paraId="0C0483C6" w14:textId="77777777" w:rsidR="000F5E5D" w:rsidRPr="00C91CE0" w:rsidRDefault="000F5E5D" w:rsidP="000F5E5D">
            <w:r w:rsidRPr="00C91CE0">
              <w:t>Leverandøren må selv bære eventuelle kostnader</w:t>
            </w:r>
            <w:r>
              <w:t xml:space="preserve"> som</w:t>
            </w:r>
            <w:r w:rsidRPr="00C91CE0">
              <w:t xml:space="preserve"> leveranse av elektronisk faktura måtte medføre for denne.</w:t>
            </w:r>
          </w:p>
          <w:p w14:paraId="7BC11D96" w14:textId="7E197B16" w:rsidR="000F5E5D" w:rsidRDefault="000F5E5D" w:rsidP="00CC69E0">
            <w:pPr>
              <w:rPr>
                <w:b/>
              </w:rPr>
            </w:pPr>
          </w:p>
        </w:tc>
      </w:tr>
    </w:tbl>
    <w:p w14:paraId="16273145" w14:textId="77777777" w:rsidR="00630DFE" w:rsidRPr="00371BFE" w:rsidRDefault="00630DFE" w:rsidP="00BF71D7"/>
    <w:sectPr w:rsidR="00630DFE" w:rsidRPr="00371BF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F3371" w14:textId="77777777" w:rsidR="006B6DC4" w:rsidRDefault="006B6DC4" w:rsidP="00371BFE">
      <w:pPr>
        <w:spacing w:after="0" w:line="240" w:lineRule="auto"/>
      </w:pPr>
      <w:r>
        <w:separator/>
      </w:r>
    </w:p>
  </w:endnote>
  <w:endnote w:type="continuationSeparator" w:id="0">
    <w:p w14:paraId="226D0AFB" w14:textId="77777777" w:rsidR="006B6DC4" w:rsidRDefault="006B6DC4" w:rsidP="00371BFE">
      <w:pPr>
        <w:spacing w:after="0" w:line="240" w:lineRule="auto"/>
      </w:pPr>
      <w:r>
        <w:continuationSeparator/>
      </w:r>
    </w:p>
  </w:endnote>
  <w:endnote w:type="continuationNotice" w:id="1">
    <w:p w14:paraId="7417FA5F" w14:textId="77777777" w:rsidR="006B6DC4" w:rsidRDefault="006B6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95320"/>
      <w:docPartObj>
        <w:docPartGallery w:val="Page Numbers (Bottom of Page)"/>
        <w:docPartUnique/>
      </w:docPartObj>
    </w:sdtPr>
    <w:sdtEndPr/>
    <w:sdtContent>
      <w:sdt>
        <w:sdtPr>
          <w:id w:val="-1769616900"/>
          <w:docPartObj>
            <w:docPartGallery w:val="Page Numbers (Top of Page)"/>
            <w:docPartUnique/>
          </w:docPartObj>
        </w:sdtPr>
        <w:sdtEndPr/>
        <w:sdtContent>
          <w:p w14:paraId="75F4B957" w14:textId="227A93E5" w:rsidR="00BF71D7" w:rsidRDefault="00BF71D7">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96A5C8" w14:textId="77777777" w:rsidR="00BF71D7" w:rsidRDefault="00BF71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55AEB" w14:textId="77777777" w:rsidR="006B6DC4" w:rsidRDefault="006B6DC4" w:rsidP="00371BFE">
      <w:pPr>
        <w:spacing w:after="0" w:line="240" w:lineRule="auto"/>
      </w:pPr>
      <w:r>
        <w:separator/>
      </w:r>
    </w:p>
  </w:footnote>
  <w:footnote w:type="continuationSeparator" w:id="0">
    <w:p w14:paraId="775098F9" w14:textId="77777777" w:rsidR="006B6DC4" w:rsidRDefault="006B6DC4" w:rsidP="00371BFE">
      <w:pPr>
        <w:spacing w:after="0" w:line="240" w:lineRule="auto"/>
      </w:pPr>
      <w:r>
        <w:continuationSeparator/>
      </w:r>
    </w:p>
  </w:footnote>
  <w:footnote w:type="continuationNotice" w:id="1">
    <w:p w14:paraId="06F57960" w14:textId="77777777" w:rsidR="006B6DC4" w:rsidRDefault="006B6D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1DBF" w14:textId="446701A8" w:rsidR="00371BFE" w:rsidRDefault="00DE6965" w:rsidP="00D4617D">
    <w:pPr>
      <w:pStyle w:val="Topptekst"/>
      <w:jc w:val="right"/>
    </w:pPr>
    <w:r>
      <w:rPr>
        <w:rFonts w:ascii="Arial" w:hAnsi="Arial" w:cs="Arial"/>
        <w:b/>
        <w:noProof/>
        <w:color w:val="000066"/>
        <w:sz w:val="52"/>
        <w:lang w:eastAsia="nb-NO"/>
      </w:rPr>
      <w:drawing>
        <wp:anchor distT="0" distB="0" distL="114300" distR="114300" simplePos="0" relativeHeight="251658240" behindDoc="0" locked="0" layoutInCell="1" allowOverlap="1" wp14:anchorId="385451E4" wp14:editId="54629DA3">
          <wp:simplePos x="0" y="0"/>
          <wp:positionH relativeFrom="column">
            <wp:posOffset>-573793</wp:posOffset>
          </wp:positionH>
          <wp:positionV relativeFrom="paragraph">
            <wp:posOffset>-131528</wp:posOffset>
          </wp:positionV>
          <wp:extent cx="1781093" cy="57721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903" cy="57909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371BFE">
      <w:t>SSA-</w:t>
    </w:r>
    <w:r w:rsidR="008F4059">
      <w:t>T</w:t>
    </w:r>
    <w:r w:rsidR="00371BFE">
      <w:t xml:space="preserve"> Endringslogg 2015-2018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6FC1320"/>
    <w:lvl w:ilvl="0">
      <w:start w:val="1"/>
      <w:numFmt w:val="decimal"/>
      <w:pStyle w:val="Overskrift1"/>
      <w:lvlText w:val="%1."/>
      <w:legacy w:legacy="1" w:legacySpace="0" w:legacyIndent="0"/>
      <w:lvlJc w:val="left"/>
      <w:pPr>
        <w:ind w:left="0" w:firstLine="0"/>
      </w:pPr>
    </w:lvl>
    <w:lvl w:ilvl="1">
      <w:start w:val="1"/>
      <w:numFmt w:val="decimal"/>
      <w:pStyle w:val="Overskrift2"/>
      <w:lvlText w:val="%1.%2"/>
      <w:legacy w:legacy="1" w:legacySpace="0" w:legacyIndent="0"/>
      <w:lvlJc w:val="left"/>
      <w:pPr>
        <w:ind w:left="0" w:firstLine="0"/>
      </w:pPr>
    </w:lvl>
    <w:lvl w:ilvl="2">
      <w:start w:val="1"/>
      <w:numFmt w:val="decimal"/>
      <w:pStyle w:val="Overskrift3"/>
      <w:lvlText w:val="%1.%2.%3"/>
      <w:legacy w:legacy="1" w:legacySpace="0" w:legacyIndent="0"/>
      <w:lvlJc w:val="left"/>
      <w:pPr>
        <w:ind w:left="0" w:firstLine="0"/>
      </w:pPr>
    </w:lvl>
    <w:lvl w:ilvl="3">
      <w:start w:val="1"/>
      <w:numFmt w:val="decimal"/>
      <w:pStyle w:val="Overskrift4"/>
      <w:lvlText w:val="%1.%2.%3.%4"/>
      <w:legacy w:legacy="1" w:legacySpace="0" w:legacyIndent="0"/>
      <w:lvlJc w:val="left"/>
      <w:pPr>
        <w:ind w:left="0" w:firstLine="0"/>
      </w:pPr>
    </w:lvl>
    <w:lvl w:ilvl="4">
      <w:start w:val="1"/>
      <w:numFmt w:val="decimal"/>
      <w:pStyle w:val="Overskrift5"/>
      <w:lvlText w:val="%1.%2.%3.%4.%5"/>
      <w:legacy w:legacy="1" w:legacySpace="0" w:legacyIndent="0"/>
      <w:lvlJc w:val="left"/>
      <w:pPr>
        <w:ind w:left="0" w:firstLine="0"/>
      </w:pPr>
    </w:lvl>
    <w:lvl w:ilvl="5">
      <w:start w:val="1"/>
      <w:numFmt w:val="decimal"/>
      <w:pStyle w:val="Overskrift6"/>
      <w:lvlText w:val="%1.%2.%3.%4.%5.%6"/>
      <w:legacy w:legacy="1" w:legacySpace="0" w:legacyIndent="0"/>
      <w:lvlJc w:val="left"/>
      <w:pPr>
        <w:ind w:left="0" w:firstLine="0"/>
      </w:pPr>
    </w:lvl>
    <w:lvl w:ilvl="6">
      <w:start w:val="1"/>
      <w:numFmt w:val="decimal"/>
      <w:pStyle w:val="Overskrift7"/>
      <w:lvlText w:val="%1.%2.%3.%4.%5.%6.%7"/>
      <w:legacy w:legacy="1" w:legacySpace="0" w:legacyIndent="0"/>
      <w:lvlJc w:val="left"/>
      <w:pPr>
        <w:ind w:left="0" w:firstLine="0"/>
      </w:pPr>
    </w:lvl>
    <w:lvl w:ilvl="7">
      <w:start w:val="1"/>
      <w:numFmt w:val="decimal"/>
      <w:pStyle w:val="Overskrift8"/>
      <w:lvlText w:val="%1.%2.%3.%4.%5.%6.%7.%8"/>
      <w:legacy w:legacy="1" w:legacySpace="0" w:legacyIndent="0"/>
      <w:lvlJc w:val="left"/>
      <w:pPr>
        <w:ind w:left="0" w:firstLine="0"/>
      </w:pPr>
    </w:lvl>
    <w:lvl w:ilvl="8">
      <w:start w:val="1"/>
      <w:numFmt w:val="decimal"/>
      <w:pStyle w:val="Overskrift9"/>
      <w:lvlText w:val="%1.%2.%3.%4.%5.%6.%7.%8.%9"/>
      <w:legacy w:legacy="1" w:legacySpace="0" w:legacyIndent="0"/>
      <w:lvlJc w:val="left"/>
      <w:pPr>
        <w:ind w:left="0" w:firstLine="0"/>
      </w:pPr>
    </w:lvl>
  </w:abstractNum>
  <w:abstractNum w:abstractNumId="1" w15:restartNumberingAfterBreak="0">
    <w:nsid w:val="40ED18D3"/>
    <w:multiLevelType w:val="multilevel"/>
    <w:tmpl w:val="075E05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3E7897"/>
    <w:multiLevelType w:val="multilevel"/>
    <w:tmpl w:val="075E05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E6F70"/>
    <w:rsid w:val="00002C30"/>
    <w:rsid w:val="000D1412"/>
    <w:rsid w:val="000D33CC"/>
    <w:rsid w:val="000E635D"/>
    <w:rsid w:val="000F19DC"/>
    <w:rsid w:val="000F5E5D"/>
    <w:rsid w:val="001347DB"/>
    <w:rsid w:val="00165C0B"/>
    <w:rsid w:val="001774DC"/>
    <w:rsid w:val="00193589"/>
    <w:rsid w:val="001A24C7"/>
    <w:rsid w:val="001A3ECB"/>
    <w:rsid w:val="001C7DA8"/>
    <w:rsid w:val="001D4A25"/>
    <w:rsid w:val="001D605C"/>
    <w:rsid w:val="001F7E68"/>
    <w:rsid w:val="0021748F"/>
    <w:rsid w:val="00261F47"/>
    <w:rsid w:val="0026435A"/>
    <w:rsid w:val="00280F6F"/>
    <w:rsid w:val="00287D01"/>
    <w:rsid w:val="00290292"/>
    <w:rsid w:val="002A6A4C"/>
    <w:rsid w:val="002C41C4"/>
    <w:rsid w:val="002D46C8"/>
    <w:rsid w:val="00325D0B"/>
    <w:rsid w:val="003421E9"/>
    <w:rsid w:val="00353EAF"/>
    <w:rsid w:val="00367F96"/>
    <w:rsid w:val="00371BFE"/>
    <w:rsid w:val="0039449D"/>
    <w:rsid w:val="003C58D5"/>
    <w:rsid w:val="004413AD"/>
    <w:rsid w:val="00481777"/>
    <w:rsid w:val="00483ECA"/>
    <w:rsid w:val="005063C1"/>
    <w:rsid w:val="0052729F"/>
    <w:rsid w:val="00581A98"/>
    <w:rsid w:val="00583E0C"/>
    <w:rsid w:val="005A4DAA"/>
    <w:rsid w:val="005E4631"/>
    <w:rsid w:val="00624A47"/>
    <w:rsid w:val="00626413"/>
    <w:rsid w:val="00630DFE"/>
    <w:rsid w:val="006417B4"/>
    <w:rsid w:val="00650E30"/>
    <w:rsid w:val="006B6DC4"/>
    <w:rsid w:val="006E63A5"/>
    <w:rsid w:val="00770B08"/>
    <w:rsid w:val="00790588"/>
    <w:rsid w:val="007A5359"/>
    <w:rsid w:val="007B6DF6"/>
    <w:rsid w:val="007E4495"/>
    <w:rsid w:val="007E6F70"/>
    <w:rsid w:val="008057D1"/>
    <w:rsid w:val="00811EF6"/>
    <w:rsid w:val="0083702F"/>
    <w:rsid w:val="008424F0"/>
    <w:rsid w:val="008806A3"/>
    <w:rsid w:val="00881097"/>
    <w:rsid w:val="0088249E"/>
    <w:rsid w:val="008946D3"/>
    <w:rsid w:val="008E785A"/>
    <w:rsid w:val="008F4059"/>
    <w:rsid w:val="009005D6"/>
    <w:rsid w:val="00911A70"/>
    <w:rsid w:val="0099456B"/>
    <w:rsid w:val="009C3F32"/>
    <w:rsid w:val="009F6D50"/>
    <w:rsid w:val="00AB340F"/>
    <w:rsid w:val="00AC65BE"/>
    <w:rsid w:val="00AF6398"/>
    <w:rsid w:val="00B27E0F"/>
    <w:rsid w:val="00B36D00"/>
    <w:rsid w:val="00B72816"/>
    <w:rsid w:val="00B729DE"/>
    <w:rsid w:val="00B77887"/>
    <w:rsid w:val="00B815D1"/>
    <w:rsid w:val="00B976A6"/>
    <w:rsid w:val="00BB79A4"/>
    <w:rsid w:val="00BC091E"/>
    <w:rsid w:val="00BC1C78"/>
    <w:rsid w:val="00BF71D7"/>
    <w:rsid w:val="00C04805"/>
    <w:rsid w:val="00C25FE1"/>
    <w:rsid w:val="00C36F14"/>
    <w:rsid w:val="00C42117"/>
    <w:rsid w:val="00C42D00"/>
    <w:rsid w:val="00C55F7E"/>
    <w:rsid w:val="00CA246E"/>
    <w:rsid w:val="00CB7EC9"/>
    <w:rsid w:val="00CC69E0"/>
    <w:rsid w:val="00CF1E98"/>
    <w:rsid w:val="00D07D5D"/>
    <w:rsid w:val="00D134C7"/>
    <w:rsid w:val="00D23984"/>
    <w:rsid w:val="00D23E77"/>
    <w:rsid w:val="00D43B95"/>
    <w:rsid w:val="00D4617D"/>
    <w:rsid w:val="00D84688"/>
    <w:rsid w:val="00D850B0"/>
    <w:rsid w:val="00DD0C02"/>
    <w:rsid w:val="00DE6965"/>
    <w:rsid w:val="00DF7332"/>
    <w:rsid w:val="00E24A03"/>
    <w:rsid w:val="00E33ABD"/>
    <w:rsid w:val="00E627C5"/>
    <w:rsid w:val="00E72430"/>
    <w:rsid w:val="00E871A5"/>
    <w:rsid w:val="00EC44CB"/>
    <w:rsid w:val="00F02B2A"/>
    <w:rsid w:val="00F16EBD"/>
    <w:rsid w:val="00FA04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AE7A2"/>
  <w15:chartTrackingRefBased/>
  <w15:docId w15:val="{7EFE46A8-1F78-4B79-A8F2-46A0DEC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E627C5"/>
    <w:pPr>
      <w:keepNext/>
      <w:keepLines/>
      <w:numPr>
        <w:numId w:val="1"/>
      </w:numPr>
      <w:spacing w:before="600" w:after="240" w:line="240" w:lineRule="auto"/>
      <w:ind w:hanging="851"/>
      <w:outlineLvl w:val="0"/>
    </w:pPr>
    <w:rPr>
      <w:rFonts w:ascii="Arial" w:eastAsia="Times New Roman" w:hAnsi="Arial" w:cs="Arial"/>
      <w:b/>
      <w:bCs/>
      <w:caps/>
      <w:kern w:val="28"/>
      <w:sz w:val="26"/>
      <w:szCs w:val="26"/>
      <w:lang w:eastAsia="ar-SA"/>
    </w:rPr>
  </w:style>
  <w:style w:type="paragraph" w:styleId="Overskrift2">
    <w:name w:val="heading 2"/>
    <w:aliases w:val="TF-Overskrit 2"/>
    <w:basedOn w:val="Normal"/>
    <w:next w:val="Normal"/>
    <w:link w:val="Overskrift2Tegn"/>
    <w:semiHidden/>
    <w:unhideWhenUsed/>
    <w:qFormat/>
    <w:rsid w:val="00E627C5"/>
    <w:pPr>
      <w:keepNext/>
      <w:keepLines/>
      <w:numPr>
        <w:ilvl w:val="1"/>
        <w:numId w:val="1"/>
      </w:numPr>
      <w:spacing w:before="120" w:after="240" w:line="240" w:lineRule="auto"/>
      <w:ind w:hanging="851"/>
      <w:outlineLvl w:val="1"/>
    </w:pPr>
    <w:rPr>
      <w:rFonts w:ascii="Arial" w:eastAsia="Times New Roman" w:hAnsi="Arial" w:cs="Arial"/>
      <w:b/>
      <w:bCs/>
      <w:smallCaps/>
      <w:lang w:eastAsia="ar-SA"/>
    </w:rPr>
  </w:style>
  <w:style w:type="paragraph" w:styleId="Overskrift3">
    <w:name w:val="heading 3"/>
    <w:basedOn w:val="Normal"/>
    <w:next w:val="Normal"/>
    <w:link w:val="Overskrift3Tegn"/>
    <w:semiHidden/>
    <w:unhideWhenUsed/>
    <w:qFormat/>
    <w:rsid w:val="00E627C5"/>
    <w:pPr>
      <w:keepNext/>
      <w:keepLines/>
      <w:numPr>
        <w:ilvl w:val="2"/>
        <w:numId w:val="1"/>
      </w:numPr>
      <w:spacing w:after="180" w:line="240" w:lineRule="auto"/>
      <w:ind w:hanging="851"/>
      <w:outlineLvl w:val="2"/>
    </w:pPr>
    <w:rPr>
      <w:rFonts w:ascii="Arial" w:eastAsia="Times New Roman" w:hAnsi="Arial" w:cs="Arial"/>
      <w:b/>
      <w:bCs/>
      <w:lang w:eastAsia="ar-SA"/>
    </w:rPr>
  </w:style>
  <w:style w:type="paragraph" w:styleId="Overskrift4">
    <w:name w:val="heading 4"/>
    <w:aliases w:val="H4"/>
    <w:basedOn w:val="Normal"/>
    <w:next w:val="Normal"/>
    <w:link w:val="Overskrift4Tegn"/>
    <w:semiHidden/>
    <w:unhideWhenUsed/>
    <w:qFormat/>
    <w:rsid w:val="00E627C5"/>
    <w:pPr>
      <w:keepNext/>
      <w:keepLines/>
      <w:widowControl w:val="0"/>
      <w:numPr>
        <w:ilvl w:val="3"/>
        <w:numId w:val="1"/>
      </w:numPr>
      <w:spacing w:before="240" w:after="60" w:line="240" w:lineRule="auto"/>
      <w:ind w:hanging="851"/>
      <w:outlineLvl w:val="3"/>
    </w:pPr>
    <w:rPr>
      <w:rFonts w:ascii="Arial" w:eastAsia="Times New Roman" w:hAnsi="Arial" w:cs="Times New Roman"/>
      <w:b/>
      <w:bCs/>
      <w:i/>
      <w:iCs/>
      <w:sz w:val="24"/>
      <w:szCs w:val="24"/>
      <w:lang w:eastAsia="ar-SA"/>
    </w:rPr>
  </w:style>
  <w:style w:type="paragraph" w:styleId="Overskrift5">
    <w:name w:val="heading 5"/>
    <w:basedOn w:val="Normal"/>
    <w:next w:val="Normal"/>
    <w:link w:val="Overskrift5Tegn"/>
    <w:semiHidden/>
    <w:unhideWhenUsed/>
    <w:qFormat/>
    <w:rsid w:val="00E627C5"/>
    <w:pPr>
      <w:numPr>
        <w:ilvl w:val="4"/>
        <w:numId w:val="1"/>
      </w:numPr>
      <w:suppressLineNumbers/>
      <w:suppressAutoHyphens/>
      <w:spacing w:before="240" w:after="60" w:line="240" w:lineRule="auto"/>
      <w:outlineLvl w:val="4"/>
    </w:pPr>
    <w:rPr>
      <w:rFonts w:ascii="Arial" w:eastAsia="Times New Roman" w:hAnsi="Arial" w:cs="Arial"/>
      <w:lang w:eastAsia="ar-SA"/>
    </w:rPr>
  </w:style>
  <w:style w:type="paragraph" w:styleId="Overskrift6">
    <w:name w:val="heading 6"/>
    <w:basedOn w:val="Normal"/>
    <w:next w:val="Normal"/>
    <w:link w:val="Overskrift6Tegn"/>
    <w:semiHidden/>
    <w:unhideWhenUsed/>
    <w:qFormat/>
    <w:rsid w:val="00E627C5"/>
    <w:pPr>
      <w:numPr>
        <w:ilvl w:val="5"/>
        <w:numId w:val="1"/>
      </w:numPr>
      <w:suppressLineNumbers/>
      <w:suppressAutoHyphens/>
      <w:spacing w:before="240" w:after="60" w:line="240" w:lineRule="auto"/>
      <w:outlineLvl w:val="5"/>
    </w:pPr>
    <w:rPr>
      <w:rFonts w:ascii="Arial" w:eastAsia="Times New Roman" w:hAnsi="Arial" w:cs="Arial"/>
      <w:i/>
      <w:iCs/>
      <w:lang w:eastAsia="ar-SA"/>
    </w:rPr>
  </w:style>
  <w:style w:type="paragraph" w:styleId="Overskrift7">
    <w:name w:val="heading 7"/>
    <w:basedOn w:val="Normal"/>
    <w:next w:val="Normal"/>
    <w:link w:val="Overskrift7Tegn"/>
    <w:semiHidden/>
    <w:unhideWhenUsed/>
    <w:qFormat/>
    <w:rsid w:val="00E627C5"/>
    <w:pPr>
      <w:numPr>
        <w:ilvl w:val="6"/>
        <w:numId w:val="1"/>
      </w:numPr>
      <w:suppressLineNumbers/>
      <w:suppressAutoHyphens/>
      <w:spacing w:before="240" w:after="60" w:line="240" w:lineRule="auto"/>
      <w:outlineLvl w:val="6"/>
    </w:pPr>
    <w:rPr>
      <w:rFonts w:ascii="Arial" w:eastAsia="Times New Roman" w:hAnsi="Arial" w:cs="Arial"/>
      <w:sz w:val="20"/>
      <w:szCs w:val="20"/>
      <w:lang w:eastAsia="ar-SA"/>
    </w:rPr>
  </w:style>
  <w:style w:type="paragraph" w:styleId="Overskrift8">
    <w:name w:val="heading 8"/>
    <w:basedOn w:val="Normal"/>
    <w:next w:val="Normal"/>
    <w:link w:val="Overskrift8Tegn"/>
    <w:semiHidden/>
    <w:unhideWhenUsed/>
    <w:qFormat/>
    <w:rsid w:val="00E627C5"/>
    <w:pPr>
      <w:numPr>
        <w:ilvl w:val="7"/>
        <w:numId w:val="1"/>
      </w:numPr>
      <w:suppressLineNumbers/>
      <w:suppressAutoHyphens/>
      <w:spacing w:before="240" w:after="60" w:line="240" w:lineRule="auto"/>
      <w:outlineLvl w:val="7"/>
    </w:pPr>
    <w:rPr>
      <w:rFonts w:ascii="Arial" w:eastAsia="Times New Roman" w:hAnsi="Arial" w:cs="Arial"/>
      <w:i/>
      <w:iCs/>
      <w:sz w:val="20"/>
      <w:szCs w:val="20"/>
      <w:lang w:eastAsia="ar-SA"/>
    </w:rPr>
  </w:style>
  <w:style w:type="paragraph" w:styleId="Overskrift9">
    <w:name w:val="heading 9"/>
    <w:basedOn w:val="Normal"/>
    <w:next w:val="Normal"/>
    <w:link w:val="Overskrift9Tegn"/>
    <w:semiHidden/>
    <w:unhideWhenUsed/>
    <w:qFormat/>
    <w:rsid w:val="00E627C5"/>
    <w:pPr>
      <w:numPr>
        <w:ilvl w:val="8"/>
        <w:numId w:val="1"/>
      </w:numPr>
      <w:suppressLineNumbers/>
      <w:suppressAutoHyphens/>
      <w:spacing w:before="240" w:after="60" w:line="240" w:lineRule="auto"/>
      <w:outlineLvl w:val="8"/>
    </w:pPr>
    <w:rPr>
      <w:rFonts w:ascii="Arial" w:eastAsia="Times New Roman" w:hAnsi="Arial" w:cs="Arial"/>
      <w:i/>
      <w:iCs/>
      <w:sz w:val="18"/>
      <w:szCs w:val="18"/>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E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eading V Tegn,TF-Overskrift 1 Tegn"/>
    <w:basedOn w:val="Standardskriftforavsnitt"/>
    <w:link w:val="Overskrift1"/>
    <w:rsid w:val="00E627C5"/>
    <w:rPr>
      <w:rFonts w:ascii="Arial" w:eastAsia="Times New Roman" w:hAnsi="Arial" w:cs="Arial"/>
      <w:b/>
      <w:bCs/>
      <w:caps/>
      <w:kern w:val="28"/>
      <w:sz w:val="26"/>
      <w:szCs w:val="26"/>
      <w:lang w:eastAsia="ar-SA"/>
    </w:rPr>
  </w:style>
  <w:style w:type="character" w:customStyle="1" w:styleId="Overskrift2Tegn">
    <w:name w:val="Overskrift 2 Tegn"/>
    <w:aliases w:val="TF-Overskrit 2 Tegn"/>
    <w:basedOn w:val="Standardskriftforavsnitt"/>
    <w:link w:val="Overskrift2"/>
    <w:semiHidden/>
    <w:rsid w:val="00E627C5"/>
    <w:rPr>
      <w:rFonts w:ascii="Arial" w:eastAsia="Times New Roman" w:hAnsi="Arial" w:cs="Arial"/>
      <w:b/>
      <w:bCs/>
      <w:smallCaps/>
      <w:lang w:eastAsia="ar-SA"/>
    </w:rPr>
  </w:style>
  <w:style w:type="character" w:customStyle="1" w:styleId="Overskrift3Tegn">
    <w:name w:val="Overskrift 3 Tegn"/>
    <w:basedOn w:val="Standardskriftforavsnitt"/>
    <w:link w:val="Overskrift3"/>
    <w:semiHidden/>
    <w:rsid w:val="00E627C5"/>
    <w:rPr>
      <w:rFonts w:ascii="Arial" w:eastAsia="Times New Roman" w:hAnsi="Arial" w:cs="Arial"/>
      <w:b/>
      <w:bCs/>
      <w:lang w:eastAsia="ar-SA"/>
    </w:rPr>
  </w:style>
  <w:style w:type="character" w:customStyle="1" w:styleId="Overskrift4Tegn">
    <w:name w:val="Overskrift 4 Tegn"/>
    <w:aliases w:val="H4 Tegn"/>
    <w:basedOn w:val="Standardskriftforavsnitt"/>
    <w:link w:val="Overskrift4"/>
    <w:semiHidden/>
    <w:rsid w:val="00E627C5"/>
    <w:rPr>
      <w:rFonts w:ascii="Arial" w:eastAsia="Times New Roman" w:hAnsi="Arial" w:cs="Times New Roman"/>
      <w:b/>
      <w:bCs/>
      <w:i/>
      <w:iCs/>
      <w:sz w:val="24"/>
      <w:szCs w:val="24"/>
      <w:lang w:eastAsia="ar-SA"/>
    </w:rPr>
  </w:style>
  <w:style w:type="character" w:customStyle="1" w:styleId="Overskrift5Tegn">
    <w:name w:val="Overskrift 5 Tegn"/>
    <w:basedOn w:val="Standardskriftforavsnitt"/>
    <w:link w:val="Overskrift5"/>
    <w:semiHidden/>
    <w:rsid w:val="00E627C5"/>
    <w:rPr>
      <w:rFonts w:ascii="Arial" w:eastAsia="Times New Roman" w:hAnsi="Arial" w:cs="Arial"/>
      <w:lang w:eastAsia="ar-SA"/>
    </w:rPr>
  </w:style>
  <w:style w:type="character" w:customStyle="1" w:styleId="Overskrift6Tegn">
    <w:name w:val="Overskrift 6 Tegn"/>
    <w:basedOn w:val="Standardskriftforavsnitt"/>
    <w:link w:val="Overskrift6"/>
    <w:semiHidden/>
    <w:rsid w:val="00E627C5"/>
    <w:rPr>
      <w:rFonts w:ascii="Arial" w:eastAsia="Times New Roman" w:hAnsi="Arial" w:cs="Arial"/>
      <w:i/>
      <w:iCs/>
      <w:lang w:eastAsia="ar-SA"/>
    </w:rPr>
  </w:style>
  <w:style w:type="character" w:customStyle="1" w:styleId="Overskrift7Tegn">
    <w:name w:val="Overskrift 7 Tegn"/>
    <w:basedOn w:val="Standardskriftforavsnitt"/>
    <w:link w:val="Overskrift7"/>
    <w:semiHidden/>
    <w:rsid w:val="00E627C5"/>
    <w:rPr>
      <w:rFonts w:ascii="Arial" w:eastAsia="Times New Roman" w:hAnsi="Arial" w:cs="Arial"/>
      <w:sz w:val="20"/>
      <w:szCs w:val="20"/>
      <w:lang w:eastAsia="ar-SA"/>
    </w:rPr>
  </w:style>
  <w:style w:type="character" w:customStyle="1" w:styleId="Overskrift8Tegn">
    <w:name w:val="Overskrift 8 Tegn"/>
    <w:basedOn w:val="Standardskriftforavsnitt"/>
    <w:link w:val="Overskrift8"/>
    <w:semiHidden/>
    <w:rsid w:val="00E627C5"/>
    <w:rPr>
      <w:rFonts w:ascii="Arial" w:eastAsia="Times New Roman" w:hAnsi="Arial" w:cs="Arial"/>
      <w:i/>
      <w:iCs/>
      <w:sz w:val="20"/>
      <w:szCs w:val="20"/>
      <w:lang w:eastAsia="ar-SA"/>
    </w:rPr>
  </w:style>
  <w:style w:type="character" w:customStyle="1" w:styleId="Overskrift9Tegn">
    <w:name w:val="Overskrift 9 Tegn"/>
    <w:basedOn w:val="Standardskriftforavsnitt"/>
    <w:link w:val="Overskrift9"/>
    <w:semiHidden/>
    <w:rsid w:val="00E627C5"/>
    <w:rPr>
      <w:rFonts w:ascii="Arial" w:eastAsia="Times New Roman" w:hAnsi="Arial" w:cs="Arial"/>
      <w:i/>
      <w:iCs/>
      <w:sz w:val="18"/>
      <w:szCs w:val="18"/>
      <w:lang w:eastAsia="ar-SA"/>
    </w:rPr>
  </w:style>
  <w:style w:type="paragraph" w:styleId="Topptekst">
    <w:name w:val="header"/>
    <w:basedOn w:val="Normal"/>
    <w:link w:val="TopptekstTegn"/>
    <w:uiPriority w:val="99"/>
    <w:unhideWhenUsed/>
    <w:rsid w:val="00371B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1BFE"/>
  </w:style>
  <w:style w:type="paragraph" w:styleId="Bunntekst">
    <w:name w:val="footer"/>
    <w:basedOn w:val="Normal"/>
    <w:link w:val="BunntekstTegn"/>
    <w:uiPriority w:val="99"/>
    <w:unhideWhenUsed/>
    <w:rsid w:val="00371B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1BFE"/>
  </w:style>
  <w:style w:type="paragraph" w:styleId="Listeavsnitt">
    <w:name w:val="List Paragraph"/>
    <w:basedOn w:val="Normal"/>
    <w:uiPriority w:val="34"/>
    <w:qFormat/>
    <w:rsid w:val="00626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199900">
      <w:bodyDiv w:val="1"/>
      <w:marLeft w:val="0"/>
      <w:marRight w:val="0"/>
      <w:marTop w:val="0"/>
      <w:marBottom w:val="0"/>
      <w:divBdr>
        <w:top w:val="none" w:sz="0" w:space="0" w:color="auto"/>
        <w:left w:val="none" w:sz="0" w:space="0" w:color="auto"/>
        <w:bottom w:val="none" w:sz="0" w:space="0" w:color="auto"/>
        <w:right w:val="none" w:sz="0" w:space="0" w:color="auto"/>
      </w:divBdr>
    </w:div>
    <w:div w:id="1111049923">
      <w:bodyDiv w:val="1"/>
      <w:marLeft w:val="0"/>
      <w:marRight w:val="0"/>
      <w:marTop w:val="0"/>
      <w:marBottom w:val="0"/>
      <w:divBdr>
        <w:top w:val="none" w:sz="0" w:space="0" w:color="auto"/>
        <w:left w:val="none" w:sz="0" w:space="0" w:color="auto"/>
        <w:bottom w:val="none" w:sz="0" w:space="0" w:color="auto"/>
        <w:right w:val="none" w:sz="0" w:space="0" w:color="auto"/>
      </w:divBdr>
    </w:div>
    <w:div w:id="1135221431">
      <w:bodyDiv w:val="1"/>
      <w:marLeft w:val="0"/>
      <w:marRight w:val="0"/>
      <w:marTop w:val="0"/>
      <w:marBottom w:val="0"/>
      <w:divBdr>
        <w:top w:val="none" w:sz="0" w:space="0" w:color="auto"/>
        <w:left w:val="none" w:sz="0" w:space="0" w:color="auto"/>
        <w:bottom w:val="none" w:sz="0" w:space="0" w:color="auto"/>
        <w:right w:val="none" w:sz="0" w:space="0" w:color="auto"/>
      </w:divBdr>
    </w:div>
    <w:div w:id="1358850779">
      <w:bodyDiv w:val="1"/>
      <w:marLeft w:val="0"/>
      <w:marRight w:val="0"/>
      <w:marTop w:val="0"/>
      <w:marBottom w:val="0"/>
      <w:divBdr>
        <w:top w:val="none" w:sz="0" w:space="0" w:color="auto"/>
        <w:left w:val="none" w:sz="0" w:space="0" w:color="auto"/>
        <w:bottom w:val="none" w:sz="0" w:space="0" w:color="auto"/>
        <w:right w:val="none" w:sz="0" w:space="0" w:color="auto"/>
      </w:divBdr>
    </w:div>
    <w:div w:id="1794637865">
      <w:bodyDiv w:val="1"/>
      <w:marLeft w:val="0"/>
      <w:marRight w:val="0"/>
      <w:marTop w:val="0"/>
      <w:marBottom w:val="0"/>
      <w:divBdr>
        <w:top w:val="none" w:sz="0" w:space="0" w:color="auto"/>
        <w:left w:val="none" w:sz="0" w:space="0" w:color="auto"/>
        <w:bottom w:val="none" w:sz="0" w:space="0" w:color="auto"/>
        <w:right w:val="none" w:sz="0" w:space="0" w:color="auto"/>
      </w:divBdr>
    </w:div>
    <w:div w:id="18112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2103</Words>
  <Characters>11150</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Cathrine</dc:creator>
  <cp:keywords/>
  <dc:description/>
  <cp:lastModifiedBy>Lindberg, Charlotte</cp:lastModifiedBy>
  <cp:revision>8</cp:revision>
  <dcterms:created xsi:type="dcterms:W3CDTF">2018-12-03T11:27:00Z</dcterms:created>
  <dcterms:modified xsi:type="dcterms:W3CDTF">2019-05-08T08:45:00Z</dcterms:modified>
</cp:coreProperties>
</file>